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83C5C">
      <w:pPr>
        <w:pStyle w:val="11"/>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 </w:t>
      </w:r>
    </w:p>
    <w:p w14:paraId="76E2E4B3">
      <w:pPr>
        <w:pStyle w:val="11"/>
        <w:rPr>
          <w:rFonts w:hint="eastAsia" w:ascii="仿宋" w:hAnsi="仿宋" w:eastAsia="仿宋" w:cs="仿宋"/>
          <w:color w:val="auto"/>
          <w:highlight w:val="none"/>
        </w:rPr>
      </w:pPr>
    </w:p>
    <w:p w14:paraId="7BC50BA8">
      <w:pPr>
        <w:pStyle w:val="11"/>
        <w:jc w:val="both"/>
        <w:rPr>
          <w:rFonts w:hint="eastAsia" w:ascii="仿宋" w:hAnsi="仿宋" w:eastAsia="仿宋" w:cs="仿宋"/>
          <w:b/>
          <w:i w:val="0"/>
          <w:iCs w:val="0"/>
          <w:caps w:val="0"/>
          <w:color w:val="auto"/>
          <w:spacing w:val="0"/>
          <w:kern w:val="2"/>
          <w:sz w:val="48"/>
          <w:szCs w:val="48"/>
          <w:highlight w:val="none"/>
          <w:lang w:val="en-US" w:eastAsia="zh-CN" w:bidi="ar-SA"/>
        </w:rPr>
      </w:pPr>
      <w:r>
        <w:rPr>
          <w:rFonts w:hint="eastAsia" w:ascii="仿宋" w:hAnsi="仿宋" w:eastAsia="仿宋" w:cs="仿宋"/>
          <w:b/>
          <w:i w:val="0"/>
          <w:iCs w:val="0"/>
          <w:caps w:val="0"/>
          <w:color w:val="auto"/>
          <w:spacing w:val="0"/>
          <w:kern w:val="2"/>
          <w:sz w:val="48"/>
          <w:szCs w:val="48"/>
          <w:highlight w:val="none"/>
          <w:lang w:val="en-US" w:eastAsia="zh-CN" w:bidi="ar-SA"/>
        </w:rPr>
        <w:t xml:space="preserve">   </w:t>
      </w:r>
    </w:p>
    <w:p w14:paraId="1884FBBC">
      <w:pPr>
        <w:pStyle w:val="11"/>
        <w:jc w:val="center"/>
        <w:rPr>
          <w:rFonts w:hint="eastAsia" w:ascii="仿宋" w:hAnsi="仿宋" w:eastAsia="仿宋" w:cs="Times New Roman"/>
          <w:color w:val="auto"/>
          <w:sz w:val="30"/>
          <w:szCs w:val="30"/>
          <w:highlight w:val="none"/>
        </w:rPr>
      </w:pPr>
      <w:r>
        <w:rPr>
          <w:rFonts w:hint="eastAsia" w:ascii="仿宋" w:hAnsi="仿宋" w:eastAsia="仿宋" w:cs="仿宋"/>
          <w:b/>
          <w:i w:val="0"/>
          <w:iCs w:val="0"/>
          <w:caps w:val="0"/>
          <w:color w:val="auto"/>
          <w:spacing w:val="0"/>
          <w:kern w:val="2"/>
          <w:sz w:val="48"/>
          <w:szCs w:val="48"/>
          <w:highlight w:val="none"/>
          <w:lang w:val="en-US" w:eastAsia="zh-CN" w:bidi="ar-SA"/>
        </w:rPr>
        <w:t>湖州南太湖新区道路交通安全隐患综合治理服务项目（2025-2026年度）</w:t>
      </w:r>
    </w:p>
    <w:p w14:paraId="355086F2">
      <w:pPr>
        <w:pStyle w:val="11"/>
        <w:jc w:val="center"/>
        <w:rPr>
          <w:rFonts w:hint="eastAsia" w:ascii="仿宋" w:hAnsi="仿宋" w:eastAsia="仿宋" w:cs="Times New Roman"/>
          <w:color w:val="auto"/>
          <w:sz w:val="30"/>
          <w:szCs w:val="30"/>
          <w:highlight w:val="none"/>
        </w:rPr>
      </w:pPr>
    </w:p>
    <w:p w14:paraId="6FC86227">
      <w:pPr>
        <w:pStyle w:val="11"/>
        <w:jc w:val="center"/>
        <w:rPr>
          <w:rFonts w:ascii="仿宋" w:hAnsi="仿宋" w:eastAsia="仿宋" w:cs="Times New Roman"/>
          <w:color w:val="auto"/>
          <w:sz w:val="30"/>
          <w:szCs w:val="30"/>
          <w:highlight w:val="none"/>
        </w:rPr>
      </w:pPr>
      <w:r>
        <w:rPr>
          <w:rFonts w:hint="eastAsia" w:ascii="仿宋" w:hAnsi="仿宋" w:eastAsia="仿宋" w:cs="Times New Roman"/>
          <w:color w:val="auto"/>
          <w:sz w:val="30"/>
          <w:szCs w:val="30"/>
          <w:highlight w:val="none"/>
        </w:rPr>
        <w:t>（财政审批编号:临[202</w:t>
      </w:r>
      <w:r>
        <w:rPr>
          <w:rFonts w:hint="eastAsia" w:ascii="仿宋" w:hAnsi="仿宋" w:eastAsia="仿宋" w:cs="Times New Roman"/>
          <w:color w:val="auto"/>
          <w:sz w:val="30"/>
          <w:szCs w:val="30"/>
          <w:highlight w:val="none"/>
          <w:lang w:val="en-US" w:eastAsia="zh-CN"/>
        </w:rPr>
        <w:t>5</w:t>
      </w:r>
      <w:r>
        <w:rPr>
          <w:rFonts w:hint="eastAsia" w:ascii="仿宋" w:hAnsi="仿宋" w:eastAsia="仿宋" w:cs="Times New Roman"/>
          <w:color w:val="auto"/>
          <w:sz w:val="30"/>
          <w:szCs w:val="30"/>
          <w:highlight w:val="none"/>
        </w:rPr>
        <w:t>]</w:t>
      </w:r>
      <w:r>
        <w:rPr>
          <w:rFonts w:hint="eastAsia" w:ascii="仿宋" w:hAnsi="仿宋" w:eastAsia="仿宋" w:cs="Times New Roman"/>
          <w:color w:val="auto"/>
          <w:sz w:val="30"/>
          <w:szCs w:val="30"/>
          <w:highlight w:val="none"/>
          <w:lang w:val="en-US" w:eastAsia="zh-CN"/>
        </w:rPr>
        <w:t>92</w:t>
      </w:r>
      <w:r>
        <w:rPr>
          <w:rFonts w:hint="eastAsia" w:ascii="仿宋" w:hAnsi="仿宋" w:eastAsia="仿宋" w:cs="Times New Roman"/>
          <w:color w:val="auto"/>
          <w:sz w:val="30"/>
          <w:szCs w:val="30"/>
          <w:highlight w:val="none"/>
        </w:rPr>
        <w:t>号）</w:t>
      </w:r>
    </w:p>
    <w:p w14:paraId="777013C7">
      <w:pPr>
        <w:pStyle w:val="11"/>
        <w:jc w:val="center"/>
        <w:rPr>
          <w:rFonts w:hint="eastAsia" w:ascii="仿宋" w:hAnsi="仿宋" w:eastAsia="仿宋" w:cs="仿宋"/>
          <w:b/>
          <w:i w:val="0"/>
          <w:iCs w:val="0"/>
          <w:caps w:val="0"/>
          <w:color w:val="auto"/>
          <w:spacing w:val="0"/>
          <w:kern w:val="2"/>
          <w:sz w:val="44"/>
          <w:szCs w:val="44"/>
          <w:highlight w:val="none"/>
          <w:lang w:val="en-US" w:eastAsia="zh-CN" w:bidi="ar-SA"/>
        </w:rPr>
      </w:pPr>
    </w:p>
    <w:p w14:paraId="15275CA5">
      <w:pPr>
        <w:pStyle w:val="11"/>
        <w:jc w:val="center"/>
        <w:rPr>
          <w:rFonts w:hint="eastAsia" w:ascii="仿宋" w:hAnsi="仿宋" w:eastAsia="仿宋" w:cs="仿宋"/>
          <w:color w:val="auto"/>
          <w:sz w:val="72"/>
          <w:szCs w:val="72"/>
          <w:highlight w:val="none"/>
        </w:rPr>
      </w:pPr>
    </w:p>
    <w:p w14:paraId="1A8C4594">
      <w:pPr>
        <w:pStyle w:val="11"/>
        <w:jc w:val="center"/>
        <w:rPr>
          <w:rFonts w:hint="eastAsia" w:ascii="仿宋" w:hAnsi="仿宋" w:eastAsia="仿宋" w:cs="仿宋"/>
          <w:color w:val="auto"/>
          <w:sz w:val="72"/>
          <w:szCs w:val="72"/>
          <w:highlight w:val="none"/>
        </w:rPr>
      </w:pPr>
      <w:r>
        <w:rPr>
          <w:rFonts w:hint="eastAsia" w:ascii="仿宋" w:hAnsi="仿宋" w:eastAsia="仿宋" w:cs="仿宋"/>
          <w:color w:val="auto"/>
          <w:sz w:val="72"/>
          <w:szCs w:val="72"/>
          <w:highlight w:val="none"/>
        </w:rPr>
        <w:t>公开招标文件</w:t>
      </w:r>
    </w:p>
    <w:p w14:paraId="773D5163">
      <w:pPr>
        <w:pStyle w:val="11"/>
        <w:tabs>
          <w:tab w:val="center" w:pos="4766"/>
          <w:tab w:val="left" w:pos="8074"/>
        </w:tabs>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ab/>
      </w:r>
      <w:r>
        <w:rPr>
          <w:rFonts w:hint="eastAsia" w:ascii="仿宋" w:hAnsi="仿宋" w:eastAsia="仿宋" w:cs="仿宋"/>
          <w:color w:val="auto"/>
          <w:sz w:val="21"/>
          <w:szCs w:val="21"/>
          <w:highlight w:val="none"/>
        </w:rPr>
        <w:t>（全流程电子）</w:t>
      </w:r>
      <w:r>
        <w:rPr>
          <w:rFonts w:hint="eastAsia" w:ascii="仿宋" w:hAnsi="仿宋" w:eastAsia="仿宋" w:cs="仿宋"/>
          <w:color w:val="auto"/>
          <w:sz w:val="21"/>
          <w:szCs w:val="21"/>
          <w:highlight w:val="none"/>
          <w:lang w:eastAsia="zh-CN"/>
        </w:rPr>
        <w:tab/>
      </w:r>
    </w:p>
    <w:p w14:paraId="7ACD7863">
      <w:pPr>
        <w:pStyle w:val="11"/>
        <w:jc w:val="both"/>
        <w:rPr>
          <w:rFonts w:hint="eastAsia" w:ascii="仿宋" w:hAnsi="仿宋" w:eastAsia="仿宋" w:cs="仿宋"/>
          <w:color w:val="auto"/>
          <w:sz w:val="72"/>
          <w:szCs w:val="72"/>
          <w:highlight w:val="none"/>
        </w:rPr>
      </w:pPr>
    </w:p>
    <w:p w14:paraId="21F42260">
      <w:pPr>
        <w:pStyle w:val="11"/>
        <w:jc w:val="both"/>
        <w:rPr>
          <w:rFonts w:hint="eastAsia" w:ascii="仿宋" w:hAnsi="仿宋" w:eastAsia="仿宋" w:cs="仿宋"/>
          <w:color w:val="auto"/>
          <w:sz w:val="72"/>
          <w:szCs w:val="72"/>
          <w:highlight w:val="none"/>
        </w:rPr>
      </w:pPr>
    </w:p>
    <w:p w14:paraId="69142115">
      <w:pPr>
        <w:pStyle w:val="11"/>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项目编号：</w:t>
      </w:r>
      <w:r>
        <w:rPr>
          <w:rFonts w:hint="default" w:ascii="仿宋" w:hAnsi="仿宋" w:eastAsia="仿宋" w:cs="仿宋"/>
          <w:color w:val="auto"/>
          <w:sz w:val="30"/>
          <w:szCs w:val="30"/>
          <w:highlight w:val="none"/>
          <w:u w:val="single"/>
          <w:lang w:val="en-US" w:eastAsia="zh-CN"/>
        </w:rPr>
        <w:t>XCXHZ-2025-003（CG）</w:t>
      </w:r>
      <w:r>
        <w:rPr>
          <w:rFonts w:hint="eastAsia" w:ascii="仿宋" w:hAnsi="仿宋" w:eastAsia="仿宋" w:cs="仿宋"/>
          <w:color w:val="auto"/>
          <w:sz w:val="30"/>
          <w:szCs w:val="30"/>
          <w:highlight w:val="none"/>
          <w:u w:val="single"/>
          <w:lang w:val="en-US" w:eastAsia="zh-CN"/>
        </w:rPr>
        <w:t xml:space="preserve">                              </w:t>
      </w:r>
    </w:p>
    <w:p w14:paraId="4E8C18E8">
      <w:pPr>
        <w:pStyle w:val="11"/>
        <w:keepNext w:val="0"/>
        <w:keepLines w:val="0"/>
        <w:pageBreakBefore w:val="0"/>
        <w:widowControl w:val="0"/>
        <w:kinsoku/>
        <w:wordWrap/>
        <w:overflowPunct/>
        <w:topLinePunct w:val="0"/>
        <w:autoSpaceDE w:val="0"/>
        <w:autoSpaceDN w:val="0"/>
        <w:bidi w:val="0"/>
        <w:adjustRightInd w:val="0"/>
        <w:snapToGrid/>
        <w:spacing w:line="600" w:lineRule="exact"/>
        <w:ind w:left="1500" w:hanging="1500" w:hangingChars="500"/>
        <w:jc w:val="both"/>
        <w:textAlignment w:val="auto"/>
        <w:rPr>
          <w:rFonts w:hint="default" w:ascii="仿宋" w:hAnsi="仿宋" w:eastAsia="仿宋" w:cs="仿宋"/>
          <w:color w:val="auto"/>
          <w:sz w:val="30"/>
          <w:szCs w:val="30"/>
          <w:highlight w:val="none"/>
          <w:lang w:val="en-US"/>
        </w:rPr>
      </w:pPr>
      <w:r>
        <w:rPr>
          <w:rFonts w:hint="eastAsia" w:ascii="仿宋" w:hAnsi="仿宋" w:eastAsia="仿宋" w:cs="仿宋"/>
          <w:color w:val="auto"/>
          <w:sz w:val="30"/>
          <w:szCs w:val="30"/>
          <w:highlight w:val="none"/>
        </w:rPr>
        <w:t>项目名称：</w:t>
      </w:r>
      <w:r>
        <w:rPr>
          <w:rFonts w:hint="eastAsia" w:ascii="仿宋" w:hAnsi="仿宋" w:eastAsia="仿宋" w:cs="仿宋"/>
          <w:color w:val="auto"/>
          <w:spacing w:val="-20"/>
          <w:sz w:val="30"/>
          <w:szCs w:val="30"/>
          <w:highlight w:val="none"/>
          <w:u w:val="single"/>
          <w:lang w:val="en-US" w:eastAsia="zh-CN"/>
        </w:rPr>
        <w:t xml:space="preserve">湖州南太湖新区道路交通安全隐患综合治理服务项目（2025-2026年度） </w:t>
      </w:r>
      <w:r>
        <w:rPr>
          <w:rFonts w:hint="eastAsia" w:ascii="仿宋" w:hAnsi="仿宋" w:eastAsia="仿宋" w:cs="仿宋"/>
          <w:color w:val="auto"/>
          <w:sz w:val="30"/>
          <w:szCs w:val="30"/>
          <w:highlight w:val="none"/>
          <w:u w:val="single"/>
          <w:lang w:val="en-US" w:eastAsia="zh-CN"/>
        </w:rPr>
        <w:t xml:space="preserve">                                       </w:t>
      </w:r>
    </w:p>
    <w:p w14:paraId="2C6DEA3F">
      <w:pPr>
        <w:pStyle w:val="11"/>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仿宋" w:hAnsi="仿宋" w:eastAsia="仿宋" w:cs="仿宋"/>
          <w:color w:val="auto"/>
          <w:sz w:val="30"/>
          <w:szCs w:val="30"/>
          <w:highlight w:val="none"/>
          <w:u w:val="single"/>
        </w:rPr>
      </w:pPr>
      <w:r>
        <w:rPr>
          <w:rFonts w:hint="eastAsia" w:ascii="仿宋" w:hAnsi="仿宋" w:eastAsia="仿宋" w:cs="仿宋"/>
          <w:color w:val="auto"/>
          <w:sz w:val="30"/>
          <w:szCs w:val="30"/>
          <w:highlight w:val="none"/>
        </w:rPr>
        <w:t>采 购 人：</w:t>
      </w:r>
      <w:r>
        <w:rPr>
          <w:rFonts w:hint="eastAsia" w:ascii="仿宋" w:hAnsi="仿宋" w:eastAsia="仿宋" w:cs="仿宋"/>
          <w:color w:val="auto"/>
          <w:sz w:val="30"/>
          <w:szCs w:val="30"/>
          <w:highlight w:val="none"/>
          <w:u w:val="single"/>
          <w:lang w:eastAsia="zh-CN"/>
        </w:rPr>
        <w:t xml:space="preserve">湖州南太湖新区公用事业管理中心 </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u w:val="single"/>
        </w:rPr>
        <w:t xml:space="preserve">（盖章） </w:t>
      </w:r>
    </w:p>
    <w:p w14:paraId="038ACBB9">
      <w:pPr>
        <w:pStyle w:val="11"/>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仿宋" w:hAnsi="仿宋" w:eastAsia="仿宋" w:cs="仿宋"/>
          <w:color w:val="auto"/>
          <w:sz w:val="30"/>
          <w:szCs w:val="30"/>
          <w:highlight w:val="none"/>
          <w:u w:val="single"/>
          <w:lang w:val="en-US" w:eastAsia="zh-CN"/>
        </w:rPr>
      </w:pPr>
      <w:r>
        <w:rPr>
          <w:rFonts w:hint="eastAsia" w:ascii="仿宋" w:hAnsi="仿宋" w:eastAsia="仿宋" w:cs="仿宋"/>
          <w:color w:val="auto"/>
          <w:sz w:val="30"/>
          <w:szCs w:val="30"/>
          <w:highlight w:val="none"/>
        </w:rPr>
        <w:t>代理机构：</w:t>
      </w:r>
      <w:r>
        <w:rPr>
          <w:rFonts w:hint="eastAsia" w:ascii="仿宋" w:hAnsi="仿宋" w:eastAsia="仿宋" w:cs="仿宋"/>
          <w:color w:val="auto"/>
          <w:sz w:val="30"/>
          <w:szCs w:val="30"/>
          <w:highlight w:val="none"/>
          <w:u w:val="single"/>
          <w:lang w:eastAsia="zh-CN"/>
        </w:rPr>
        <w:t>浙江新诚信工程咨询有限公司</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u w:val="single"/>
        </w:rPr>
        <w:t xml:space="preserve">  （盖章） </w:t>
      </w:r>
      <w:r>
        <w:rPr>
          <w:rFonts w:hint="eastAsia" w:ascii="仿宋" w:hAnsi="仿宋" w:eastAsia="仿宋" w:cs="仿宋"/>
          <w:color w:val="auto"/>
          <w:sz w:val="30"/>
          <w:szCs w:val="30"/>
          <w:highlight w:val="none"/>
          <w:u w:val="single"/>
          <w:lang w:val="en-US" w:eastAsia="zh-CN"/>
        </w:rPr>
        <w:t xml:space="preserve">  </w:t>
      </w:r>
    </w:p>
    <w:p w14:paraId="7CBF770D">
      <w:pPr>
        <w:pStyle w:val="11"/>
        <w:spacing w:line="360" w:lineRule="auto"/>
        <w:jc w:val="center"/>
        <w:rPr>
          <w:rFonts w:hint="eastAsia" w:ascii="仿宋" w:hAnsi="仿宋" w:eastAsia="仿宋" w:cs="仿宋"/>
          <w:color w:val="auto"/>
          <w:sz w:val="28"/>
          <w:szCs w:val="28"/>
          <w:highlight w:val="none"/>
        </w:rPr>
      </w:pPr>
    </w:p>
    <w:p w14:paraId="2401CC55">
      <w:pPr>
        <w:pStyle w:val="11"/>
        <w:spacing w:line="360" w:lineRule="auto"/>
        <w:jc w:val="center"/>
        <w:rPr>
          <w:rFonts w:hint="eastAsia" w:ascii="仿宋" w:hAnsi="仿宋" w:eastAsia="仿宋" w:cs="仿宋"/>
          <w:color w:val="auto"/>
          <w:sz w:val="28"/>
          <w:szCs w:val="28"/>
          <w:highlight w:val="none"/>
        </w:rPr>
      </w:pPr>
    </w:p>
    <w:p w14:paraId="7460B1E3">
      <w:pPr>
        <w:pStyle w:val="11"/>
        <w:spacing w:line="360" w:lineRule="auto"/>
        <w:jc w:val="center"/>
        <w:rPr>
          <w:rFonts w:hint="eastAsia" w:ascii="仿宋" w:hAnsi="仿宋" w:eastAsia="仿宋" w:cs="仿宋"/>
          <w:color w:val="auto"/>
          <w:sz w:val="28"/>
          <w:szCs w:val="28"/>
          <w:highlight w:val="none"/>
        </w:rPr>
      </w:pPr>
    </w:p>
    <w:p w14:paraId="0F2D89A9">
      <w:pPr>
        <w:pStyle w:val="11"/>
        <w:spacing w:line="360" w:lineRule="auto"/>
        <w:jc w:val="center"/>
        <w:rPr>
          <w:rFonts w:hint="eastAsia" w:ascii="仿宋" w:hAnsi="仿宋" w:eastAsia="仿宋" w:cs="仿宋"/>
          <w:color w:val="auto"/>
          <w:sz w:val="28"/>
          <w:szCs w:val="28"/>
          <w:highlight w:val="none"/>
        </w:rPr>
      </w:pPr>
    </w:p>
    <w:p w14:paraId="0795CD98">
      <w:pPr>
        <w:pStyle w:val="11"/>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二○二</w:t>
      </w:r>
      <w:r>
        <w:rPr>
          <w:rFonts w:hint="eastAsia" w:ascii="仿宋" w:hAnsi="仿宋" w:eastAsia="仿宋" w:cs="仿宋"/>
          <w:color w:val="auto"/>
          <w:sz w:val="28"/>
          <w:szCs w:val="28"/>
          <w:highlight w:val="none"/>
          <w:lang w:val="en-US" w:eastAsia="zh-CN"/>
        </w:rPr>
        <w:t>五</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二</w:t>
      </w:r>
      <w:r>
        <w:rPr>
          <w:rFonts w:hint="eastAsia" w:ascii="仿宋" w:hAnsi="仿宋" w:eastAsia="仿宋" w:cs="仿宋"/>
          <w:color w:val="auto"/>
          <w:sz w:val="28"/>
          <w:szCs w:val="28"/>
          <w:highlight w:val="none"/>
        </w:rPr>
        <w:t>月</w:t>
      </w:r>
    </w:p>
    <w:p w14:paraId="4F505858">
      <w:pPr>
        <w:pageBreakBefore/>
        <w:tabs>
          <w:tab w:val="left" w:pos="3153"/>
          <w:tab w:val="center" w:pos="4260"/>
        </w:tabs>
        <w:spacing w:beforeLines="100" w:line="288" w:lineRule="auto"/>
        <w:jc w:val="center"/>
        <w:rPr>
          <w:rFonts w:hint="eastAsia" w:ascii="仿宋" w:hAnsi="仿宋" w:eastAsia="仿宋" w:cs="仿宋"/>
          <w:b/>
          <w:color w:val="auto"/>
          <w:sz w:val="36"/>
          <w:szCs w:val="36"/>
          <w:highlight w:val="none"/>
        </w:rPr>
        <w:sectPr>
          <w:headerReference r:id="rId3" w:type="default"/>
          <w:pgSz w:w="11906" w:h="16838"/>
          <w:pgMar w:top="1134" w:right="1247" w:bottom="1134" w:left="1247" w:header="851" w:footer="851" w:gutter="0"/>
          <w:pgBorders>
            <w:top w:val="none" w:sz="0" w:space="0"/>
            <w:left w:val="none" w:sz="0" w:space="0"/>
            <w:bottom w:val="none" w:sz="0" w:space="0"/>
            <w:right w:val="none" w:sz="0" w:space="0"/>
          </w:pgBorders>
          <w:pgNumType w:fmt="numberInDash"/>
          <w:cols w:space="720" w:num="1"/>
          <w:titlePg/>
          <w:docGrid w:linePitch="312" w:charSpace="0"/>
        </w:sectPr>
      </w:pPr>
    </w:p>
    <w:p w14:paraId="353D04F9">
      <w:pPr>
        <w:pageBreakBefore/>
        <w:tabs>
          <w:tab w:val="left" w:pos="3153"/>
          <w:tab w:val="center" w:pos="4260"/>
        </w:tabs>
        <w:spacing w:beforeLines="100" w:line="288"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0DF01A5C">
      <w:pPr>
        <w:pStyle w:val="3"/>
        <w:rPr>
          <w:rFonts w:hint="eastAsia" w:ascii="仿宋" w:hAnsi="仿宋" w:eastAsia="仿宋" w:cs="仿宋"/>
          <w:color w:val="auto"/>
          <w:highlight w:val="none"/>
        </w:rPr>
      </w:pPr>
    </w:p>
    <w:p w14:paraId="246105CF">
      <w:pPr>
        <w:pStyle w:val="11"/>
        <w:rPr>
          <w:rFonts w:hint="eastAsia" w:ascii="仿宋" w:hAnsi="仿宋" w:eastAsia="仿宋" w:cs="仿宋"/>
          <w:color w:val="auto"/>
          <w:highlight w:val="none"/>
        </w:rPr>
      </w:pPr>
      <w:bookmarkStart w:id="0" w:name="_Toc130094904"/>
    </w:p>
    <w:p w14:paraId="4B729ED8">
      <w:pPr>
        <w:pStyle w:val="11"/>
        <w:keepNext w:val="0"/>
        <w:keepLines w:val="0"/>
        <w:pageBreakBefore w:val="0"/>
        <w:widowControl w:val="0"/>
        <w:tabs>
          <w:tab w:val="left" w:pos="7938"/>
        </w:tabs>
        <w:kinsoku/>
        <w:wordWrap/>
        <w:overflowPunct/>
        <w:topLinePunct w:val="0"/>
        <w:bidi w:val="0"/>
        <w:snapToGrid/>
        <w:spacing w:line="360" w:lineRule="auto"/>
        <w:jc w:val="distribute"/>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第一章 公开招标公告………………………………………0</w:t>
      </w:r>
      <w:r>
        <w:rPr>
          <w:rFonts w:hint="eastAsia" w:ascii="仿宋" w:hAnsi="仿宋" w:eastAsia="仿宋" w:cs="仿宋"/>
          <w:color w:val="auto"/>
          <w:sz w:val="30"/>
          <w:szCs w:val="30"/>
          <w:highlight w:val="none"/>
          <w:lang w:val="en-US" w:eastAsia="zh-CN"/>
        </w:rPr>
        <w:t>1</w:t>
      </w:r>
    </w:p>
    <w:p w14:paraId="3238B707">
      <w:pPr>
        <w:pStyle w:val="11"/>
        <w:keepNext w:val="0"/>
        <w:keepLines w:val="0"/>
        <w:pageBreakBefore w:val="0"/>
        <w:widowControl w:val="0"/>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第二章 招标需求…………………………………………………</w:t>
      </w:r>
      <w:r>
        <w:rPr>
          <w:rFonts w:hint="eastAsia" w:ascii="仿宋" w:hAnsi="仿宋" w:eastAsia="仿宋" w:cs="仿宋"/>
          <w:color w:val="auto"/>
          <w:sz w:val="30"/>
          <w:szCs w:val="30"/>
          <w:highlight w:val="none"/>
          <w:lang w:val="en-US" w:eastAsia="zh-CN"/>
        </w:rPr>
        <w:t>07</w:t>
      </w:r>
    </w:p>
    <w:p w14:paraId="1B876B3D">
      <w:pPr>
        <w:pStyle w:val="11"/>
        <w:keepNext w:val="0"/>
        <w:keepLines w:val="0"/>
        <w:pageBreakBefore w:val="0"/>
        <w:widowControl w:val="0"/>
        <w:tabs>
          <w:tab w:val="left" w:pos="7938"/>
        </w:tabs>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第三章 投标人须知……………………………………………</w:t>
      </w:r>
      <w:r>
        <w:rPr>
          <w:rFonts w:hint="eastAsia" w:ascii="仿宋" w:hAnsi="仿宋" w:eastAsia="仿宋" w:cs="仿宋"/>
          <w:color w:val="auto"/>
          <w:sz w:val="30"/>
          <w:szCs w:val="30"/>
          <w:highlight w:val="none"/>
          <w:lang w:val="en-US" w:eastAsia="zh-CN"/>
        </w:rPr>
        <w:t>13</w:t>
      </w:r>
    </w:p>
    <w:p w14:paraId="2D1C4EB7">
      <w:pPr>
        <w:pStyle w:val="11"/>
        <w:keepNext w:val="0"/>
        <w:keepLines w:val="0"/>
        <w:pageBreakBefore w:val="0"/>
        <w:widowControl w:val="0"/>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第四章 评标办法及评分标准…………………………………</w:t>
      </w:r>
      <w:r>
        <w:rPr>
          <w:rFonts w:hint="eastAsia" w:ascii="仿宋" w:hAnsi="仿宋" w:eastAsia="仿宋" w:cs="仿宋"/>
          <w:color w:val="auto"/>
          <w:sz w:val="30"/>
          <w:szCs w:val="30"/>
          <w:highlight w:val="none"/>
          <w:lang w:val="en-US" w:eastAsia="zh-CN"/>
        </w:rPr>
        <w:t>30</w:t>
      </w:r>
    </w:p>
    <w:p w14:paraId="4FC503AC">
      <w:pPr>
        <w:pStyle w:val="11"/>
        <w:keepNext w:val="0"/>
        <w:keepLines w:val="0"/>
        <w:pageBreakBefore w:val="0"/>
        <w:widowControl w:val="0"/>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第五章 合同主要条款……………………………………………</w:t>
      </w:r>
      <w:r>
        <w:rPr>
          <w:rFonts w:hint="eastAsia" w:ascii="仿宋" w:hAnsi="仿宋" w:eastAsia="仿宋" w:cs="仿宋"/>
          <w:color w:val="auto"/>
          <w:sz w:val="30"/>
          <w:szCs w:val="30"/>
          <w:highlight w:val="none"/>
          <w:lang w:val="en-US" w:eastAsia="zh-CN"/>
        </w:rPr>
        <w:t>33</w:t>
      </w:r>
    </w:p>
    <w:p w14:paraId="3F1E3324">
      <w:pPr>
        <w:keepNext w:val="0"/>
        <w:keepLines w:val="0"/>
        <w:pageBreakBefore w:val="0"/>
        <w:widowControl w:val="0"/>
        <w:kinsoku/>
        <w:wordWrap/>
        <w:overflowPunct/>
        <w:topLinePunct w:val="0"/>
        <w:bidi w:val="0"/>
        <w:snapToGrid/>
        <w:spacing w:line="360" w:lineRule="auto"/>
        <w:jc w:val="distribute"/>
        <w:textAlignment w:val="auto"/>
        <w:rPr>
          <w:rFonts w:hint="default" w:ascii="仿宋" w:hAnsi="仿宋" w:eastAsia="仿宋" w:cs="仿宋"/>
          <w:color w:val="auto"/>
          <w:kern w:val="0"/>
          <w:sz w:val="30"/>
          <w:szCs w:val="30"/>
          <w:highlight w:val="none"/>
          <w:lang w:val="en-US" w:eastAsia="zh-CN"/>
        </w:rPr>
      </w:pPr>
      <w:r>
        <w:rPr>
          <w:rFonts w:hint="eastAsia" w:ascii="仿宋" w:hAnsi="仿宋" w:eastAsia="仿宋" w:cs="仿宋"/>
          <w:color w:val="auto"/>
          <w:sz w:val="30"/>
          <w:szCs w:val="30"/>
          <w:highlight w:val="none"/>
        </w:rPr>
        <w:t>第六章 投标格式…………………………………………</w:t>
      </w:r>
      <w:r>
        <w:rPr>
          <w:rFonts w:hint="eastAsia" w:ascii="仿宋" w:hAnsi="仿宋" w:eastAsia="仿宋" w:cs="仿宋"/>
          <w:color w:val="auto"/>
          <w:kern w:val="0"/>
          <w:sz w:val="30"/>
          <w:szCs w:val="30"/>
          <w:highlight w:val="none"/>
          <w:lang w:val="en-US" w:eastAsia="zh-CN"/>
        </w:rPr>
        <w:t>38</w:t>
      </w:r>
    </w:p>
    <w:p w14:paraId="4774A0E0">
      <w:pPr>
        <w:spacing w:line="720" w:lineRule="auto"/>
        <w:rPr>
          <w:rFonts w:hint="eastAsia" w:ascii="仿宋" w:hAnsi="仿宋" w:eastAsia="仿宋" w:cs="仿宋"/>
          <w:color w:val="auto"/>
          <w:kern w:val="0"/>
          <w:sz w:val="30"/>
          <w:szCs w:val="30"/>
          <w:highlight w:val="none"/>
        </w:rPr>
      </w:pPr>
    </w:p>
    <w:bookmarkEnd w:id="0"/>
    <w:p w14:paraId="00AB5942">
      <w:pPr>
        <w:pStyle w:val="3"/>
        <w:spacing w:line="560" w:lineRule="exact"/>
        <w:rPr>
          <w:rFonts w:hint="eastAsia" w:ascii="仿宋" w:hAnsi="仿宋" w:eastAsia="仿宋" w:cs="仿宋"/>
          <w:color w:val="auto"/>
          <w:sz w:val="32"/>
          <w:highlight w:val="none"/>
        </w:rPr>
        <w:sectPr>
          <w:footerReference r:id="rId5" w:type="first"/>
          <w:footerReference r:id="rId4" w:type="default"/>
          <w:pgSz w:w="11906" w:h="16838"/>
          <w:pgMar w:top="1134" w:right="1247" w:bottom="1134" w:left="1247" w:header="851" w:footer="851" w:gutter="0"/>
          <w:pgBorders>
            <w:top w:val="none" w:sz="0" w:space="0"/>
            <w:left w:val="none" w:sz="0" w:space="0"/>
            <w:bottom w:val="none" w:sz="0" w:space="0"/>
            <w:right w:val="none" w:sz="0" w:space="0"/>
          </w:pgBorders>
          <w:pgNumType w:fmt="numberInDash"/>
          <w:cols w:space="720" w:num="1"/>
          <w:titlePg/>
          <w:docGrid w:linePitch="312" w:charSpace="0"/>
        </w:sectPr>
      </w:pPr>
      <w:bookmarkStart w:id="1" w:name="_Toc510462676"/>
      <w:bookmarkStart w:id="2" w:name="_Toc11724"/>
    </w:p>
    <w:p w14:paraId="43984E92">
      <w:pPr>
        <w:pStyle w:val="3"/>
        <w:spacing w:line="560" w:lineRule="exact"/>
        <w:rPr>
          <w:rFonts w:hint="eastAsia" w:ascii="仿宋" w:hAnsi="仿宋" w:eastAsia="仿宋" w:cs="仿宋"/>
          <w:color w:val="auto"/>
          <w:sz w:val="32"/>
          <w:highlight w:val="none"/>
        </w:rPr>
      </w:pPr>
      <w:r>
        <w:rPr>
          <w:rFonts w:hint="eastAsia" w:ascii="仿宋" w:hAnsi="仿宋" w:eastAsia="仿宋" w:cs="仿宋"/>
          <w:color w:val="auto"/>
          <w:sz w:val="32"/>
          <w:highlight w:val="none"/>
        </w:rPr>
        <w:t>第一章   公开招标公告</w:t>
      </w:r>
      <w:bookmarkEnd w:id="1"/>
      <w:bookmarkEnd w:id="2"/>
    </w:p>
    <w:p w14:paraId="067C7AF8">
      <w:pPr>
        <w:pStyle w:val="11"/>
        <w:keepNext w:val="0"/>
        <w:keepLines w:val="0"/>
        <w:pageBreakBefore w:val="0"/>
        <w:widowControl w:val="0"/>
        <w:kinsoku/>
        <w:wordWrap/>
        <w:overflowPunct/>
        <w:topLinePunct w:val="0"/>
        <w:autoSpaceDE w:val="0"/>
        <w:autoSpaceDN w:val="0"/>
        <w:bidi w:val="0"/>
        <w:adjustRightInd w:val="0"/>
        <w:snapToGrid/>
        <w:spacing w:beforeLines="50" w:afterLines="50" w:line="500" w:lineRule="exact"/>
        <w:ind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根据《中华人民共和国政府采购法》《政府采购货物和服务招标投标管理办法》及相关法律、法规等规定，经</w:t>
      </w:r>
      <w:r>
        <w:rPr>
          <w:rFonts w:hint="eastAsia" w:ascii="仿宋" w:hAnsi="仿宋" w:eastAsia="仿宋" w:cs="仿宋"/>
          <w:color w:val="auto"/>
          <w:sz w:val="24"/>
          <w:highlight w:val="none"/>
          <w:lang w:val="en-US" w:eastAsia="zh-CN"/>
        </w:rPr>
        <w:t>湖州市</w:t>
      </w:r>
      <w:r>
        <w:rPr>
          <w:rFonts w:hint="eastAsia" w:ascii="仿宋" w:hAnsi="仿宋" w:eastAsia="仿宋" w:cs="仿宋"/>
          <w:color w:val="auto"/>
          <w:sz w:val="24"/>
          <w:highlight w:val="none"/>
        </w:rPr>
        <w:t>财政局</w:t>
      </w:r>
      <w:r>
        <w:rPr>
          <w:rFonts w:hint="eastAsia" w:ascii="仿宋" w:hAnsi="仿宋" w:eastAsia="仿宋" w:cs="仿宋"/>
          <w:color w:val="auto"/>
          <w:sz w:val="24"/>
          <w:highlight w:val="none"/>
          <w:u w:val="none"/>
        </w:rPr>
        <w:t>(</w:t>
      </w:r>
      <w:r>
        <w:rPr>
          <w:rFonts w:hint="eastAsia" w:ascii="仿宋" w:hAnsi="仿宋" w:eastAsia="仿宋" w:cs="仿宋"/>
          <w:color w:val="auto"/>
          <w:sz w:val="24"/>
          <w:highlight w:val="none"/>
          <w:u w:val="none"/>
          <w:lang w:eastAsia="zh-CN"/>
        </w:rPr>
        <w:t>财政审批编号：</w:t>
      </w:r>
      <w:r>
        <w:rPr>
          <w:rFonts w:hint="eastAsia" w:ascii="仿宋" w:hAnsi="仿宋" w:eastAsia="仿宋" w:cs="仿宋"/>
          <w:color w:val="auto"/>
          <w:sz w:val="24"/>
          <w:highlight w:val="none"/>
          <w:u w:val="single"/>
          <w:lang w:eastAsia="zh-CN"/>
        </w:rPr>
        <w:t>临[202</w:t>
      </w: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lang w:val="en-US" w:eastAsia="zh-CN"/>
        </w:rPr>
        <w:t>92</w:t>
      </w:r>
      <w:r>
        <w:rPr>
          <w:rFonts w:hint="eastAsia" w:ascii="仿宋" w:hAnsi="仿宋" w:eastAsia="仿宋" w:cs="仿宋"/>
          <w:color w:val="auto"/>
          <w:sz w:val="24"/>
          <w:highlight w:val="none"/>
          <w:u w:val="single"/>
          <w:lang w:eastAsia="zh-CN"/>
        </w:rPr>
        <w:t>号</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批准，</w:t>
      </w:r>
      <w:r>
        <w:rPr>
          <w:rFonts w:hint="eastAsia" w:ascii="仿宋" w:hAnsi="仿宋" w:eastAsia="仿宋" w:cs="仿宋"/>
          <w:color w:val="auto"/>
          <w:sz w:val="24"/>
          <w:highlight w:val="none"/>
          <w:u w:val="single"/>
          <w:lang w:eastAsia="zh-CN"/>
        </w:rPr>
        <w:t>浙江新诚信工程咨询有限公司</w:t>
      </w:r>
      <w:r>
        <w:rPr>
          <w:rFonts w:hint="eastAsia" w:ascii="仿宋" w:hAnsi="仿宋" w:eastAsia="仿宋" w:cs="仿宋"/>
          <w:color w:val="auto"/>
          <w:sz w:val="24"/>
          <w:highlight w:val="none"/>
        </w:rPr>
        <w:t>受</w:t>
      </w:r>
      <w:r>
        <w:rPr>
          <w:rFonts w:hint="eastAsia" w:ascii="仿宋" w:hAnsi="仿宋" w:eastAsia="仿宋" w:cs="仿宋"/>
          <w:color w:val="auto"/>
          <w:sz w:val="24"/>
          <w:highlight w:val="none"/>
          <w:u w:val="single"/>
          <w:lang w:eastAsia="zh-CN"/>
        </w:rPr>
        <w:t xml:space="preserve">湖州南太湖新区公用事业管理中心 </w:t>
      </w:r>
      <w:r>
        <w:rPr>
          <w:rFonts w:hint="eastAsia" w:ascii="仿宋" w:hAnsi="仿宋" w:eastAsia="仿宋" w:cs="仿宋"/>
          <w:color w:val="auto"/>
          <w:sz w:val="24"/>
          <w:highlight w:val="none"/>
        </w:rPr>
        <w:t>委托，现就</w:t>
      </w:r>
      <w:r>
        <w:rPr>
          <w:rFonts w:hint="eastAsia" w:ascii="仿宋" w:hAnsi="仿宋" w:eastAsia="仿宋" w:cs="仿宋"/>
          <w:color w:val="auto"/>
          <w:sz w:val="24"/>
          <w:highlight w:val="none"/>
          <w:u w:val="single"/>
          <w:lang w:val="en-US" w:eastAsia="zh-CN"/>
        </w:rPr>
        <w:t>湖州南太湖新区道路交通安全隐患综合治理服务项目（2025-2026年度）</w:t>
      </w:r>
      <w:r>
        <w:rPr>
          <w:rFonts w:hint="eastAsia" w:ascii="仿宋" w:hAnsi="仿宋" w:eastAsia="仿宋" w:cs="仿宋"/>
          <w:color w:val="auto"/>
          <w:sz w:val="24"/>
          <w:highlight w:val="none"/>
        </w:rPr>
        <w:t>进行公开招标采购，欢迎中华人民共和国境内的合格投标人前来参加投标。</w:t>
      </w:r>
    </w:p>
    <w:p w14:paraId="57FADD03">
      <w:pPr>
        <w:numPr>
          <w:ilvl w:val="0"/>
          <w:numId w:val="3"/>
        </w:numPr>
        <w:spacing w:line="560" w:lineRule="exact"/>
        <w:ind w:firstLine="482" w:firstLineChars="200"/>
        <w:rPr>
          <w:rFonts w:hint="default" w:ascii="仿宋" w:hAnsi="仿宋" w:eastAsia="仿宋" w:cs="仿宋"/>
          <w:color w:val="auto"/>
          <w:sz w:val="24"/>
          <w:highlight w:val="none"/>
          <w:lang w:val="en-US" w:eastAsia="zh-CN"/>
        </w:rPr>
      </w:pPr>
      <w:r>
        <w:rPr>
          <w:rFonts w:hint="eastAsia" w:ascii="仿宋" w:hAnsi="仿宋" w:eastAsia="仿宋" w:cs="仿宋"/>
          <w:b/>
          <w:color w:val="auto"/>
          <w:sz w:val="24"/>
          <w:highlight w:val="none"/>
        </w:rPr>
        <w:t>项目编号：</w:t>
      </w:r>
      <w:r>
        <w:rPr>
          <w:rFonts w:hint="default" w:ascii="仿宋" w:hAnsi="仿宋" w:eastAsia="仿宋" w:cs="仿宋"/>
          <w:color w:val="auto"/>
          <w:sz w:val="24"/>
          <w:highlight w:val="none"/>
          <w:lang w:val="en-US" w:eastAsia="zh-CN"/>
        </w:rPr>
        <w:t>XCXHZ-2025-003（CG）</w:t>
      </w:r>
    </w:p>
    <w:p w14:paraId="004CF52F">
      <w:pPr>
        <w:numPr>
          <w:ilvl w:val="0"/>
          <w:numId w:val="0"/>
        </w:numPr>
        <w:spacing w:line="560" w:lineRule="exact"/>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二、采购组织类型：</w:t>
      </w:r>
      <w:r>
        <w:rPr>
          <w:rFonts w:hint="eastAsia" w:ascii="仿宋" w:hAnsi="仿宋" w:eastAsia="仿宋" w:cs="仿宋"/>
          <w:color w:val="auto"/>
          <w:sz w:val="24"/>
          <w:highlight w:val="none"/>
        </w:rPr>
        <w:t>分散采购</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委托代理</w:t>
      </w:r>
    </w:p>
    <w:p w14:paraId="3E4DD71F">
      <w:pPr>
        <w:spacing w:line="560" w:lineRule="exact"/>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三、采购方式：</w:t>
      </w:r>
      <w:r>
        <w:rPr>
          <w:rFonts w:hint="eastAsia" w:ascii="仿宋" w:hAnsi="仿宋" w:eastAsia="仿宋" w:cs="仿宋"/>
          <w:color w:val="auto"/>
          <w:sz w:val="24"/>
          <w:highlight w:val="none"/>
        </w:rPr>
        <w:t>公开招标</w:t>
      </w:r>
    </w:p>
    <w:p w14:paraId="23D15064">
      <w:pPr>
        <w:spacing w:line="560" w:lineRule="exact"/>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四、招标项目概况</w:t>
      </w:r>
      <w:r>
        <w:rPr>
          <w:rFonts w:hint="eastAsia" w:ascii="仿宋" w:hAnsi="仿宋" w:eastAsia="仿宋" w:cs="仿宋"/>
          <w:color w:val="auto"/>
          <w:sz w:val="24"/>
          <w:highlight w:val="none"/>
        </w:rPr>
        <w:t>（内容、数量、简要技术要求等）:</w:t>
      </w:r>
    </w:p>
    <w:tbl>
      <w:tblPr>
        <w:tblStyle w:val="24"/>
        <w:tblW w:w="9825" w:type="dxa"/>
        <w:jc w:val="center"/>
        <w:tblLayout w:type="fixed"/>
        <w:tblCellMar>
          <w:top w:w="0" w:type="dxa"/>
          <w:left w:w="10" w:type="dxa"/>
          <w:bottom w:w="0" w:type="dxa"/>
          <w:right w:w="10" w:type="dxa"/>
        </w:tblCellMar>
      </w:tblPr>
      <w:tblGrid>
        <w:gridCol w:w="885"/>
        <w:gridCol w:w="4230"/>
        <w:gridCol w:w="885"/>
        <w:gridCol w:w="1515"/>
        <w:gridCol w:w="2310"/>
      </w:tblGrid>
      <w:tr w14:paraId="0F6D2049">
        <w:tblPrEx>
          <w:tblCellMar>
            <w:top w:w="0" w:type="dxa"/>
            <w:left w:w="10" w:type="dxa"/>
            <w:bottom w:w="0" w:type="dxa"/>
            <w:right w:w="10" w:type="dxa"/>
          </w:tblCellMar>
        </w:tblPrEx>
        <w:trPr>
          <w:trHeight w:val="262" w:hRule="atLeast"/>
          <w:jc w:val="center"/>
        </w:trPr>
        <w:tc>
          <w:tcPr>
            <w:tcW w:w="885" w:type="dxa"/>
            <w:tcBorders>
              <w:top w:val="single" w:color="auto" w:sz="6" w:space="0"/>
              <w:left w:val="single" w:color="auto" w:sz="6" w:space="0"/>
              <w:bottom w:val="single" w:color="auto" w:sz="6" w:space="0"/>
              <w:right w:val="single" w:color="auto" w:sz="6" w:space="0"/>
            </w:tcBorders>
            <w:noWrap/>
            <w:vAlign w:val="center"/>
          </w:tcPr>
          <w:p w14:paraId="560D0B87">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标项</w:t>
            </w:r>
          </w:p>
        </w:tc>
        <w:tc>
          <w:tcPr>
            <w:tcW w:w="4230" w:type="dxa"/>
            <w:tcBorders>
              <w:top w:val="single" w:color="auto" w:sz="6" w:space="0"/>
              <w:left w:val="single" w:color="auto" w:sz="4" w:space="0"/>
              <w:bottom w:val="single" w:color="auto" w:sz="6" w:space="0"/>
              <w:right w:val="single" w:color="auto" w:sz="4" w:space="0"/>
            </w:tcBorders>
            <w:noWrap/>
            <w:vAlign w:val="center"/>
          </w:tcPr>
          <w:p w14:paraId="66355868">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采购内容</w:t>
            </w:r>
          </w:p>
        </w:tc>
        <w:tc>
          <w:tcPr>
            <w:tcW w:w="885" w:type="dxa"/>
            <w:tcBorders>
              <w:top w:val="single" w:color="auto" w:sz="6" w:space="0"/>
              <w:left w:val="single" w:color="auto" w:sz="4" w:space="0"/>
              <w:bottom w:val="single" w:color="auto" w:sz="6" w:space="0"/>
              <w:right w:val="single" w:color="auto" w:sz="4" w:space="0"/>
            </w:tcBorders>
            <w:noWrap/>
            <w:vAlign w:val="center"/>
          </w:tcPr>
          <w:p w14:paraId="64C128E7">
            <w:pPr>
              <w:keepNext w:val="0"/>
              <w:keepLines w:val="0"/>
              <w:widowControl/>
              <w:suppressLineNumbers w:val="0"/>
              <w:spacing w:before="0" w:beforeAutospacing="0" w:after="0" w:afterAutospacing="0" w:line="500" w:lineRule="exact"/>
              <w:ind w:left="60" w:leftChars="0" w:right="60" w:rightChars="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服务期</w:t>
            </w:r>
          </w:p>
        </w:tc>
        <w:tc>
          <w:tcPr>
            <w:tcW w:w="1515" w:type="dxa"/>
            <w:tcBorders>
              <w:top w:val="single" w:color="auto" w:sz="6" w:space="0"/>
              <w:left w:val="single" w:color="auto" w:sz="4" w:space="0"/>
              <w:bottom w:val="single" w:color="auto" w:sz="4" w:space="0"/>
              <w:right w:val="single" w:color="auto" w:sz="6" w:space="0"/>
            </w:tcBorders>
            <w:noWrap/>
            <w:vAlign w:val="center"/>
          </w:tcPr>
          <w:p w14:paraId="1DC38BB2">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预算金额</w:t>
            </w:r>
          </w:p>
        </w:tc>
        <w:tc>
          <w:tcPr>
            <w:tcW w:w="2310" w:type="dxa"/>
            <w:tcBorders>
              <w:top w:val="single" w:color="auto" w:sz="6" w:space="0"/>
              <w:left w:val="single" w:color="auto" w:sz="4" w:space="0"/>
              <w:bottom w:val="single" w:color="auto" w:sz="4" w:space="0"/>
              <w:right w:val="single" w:color="auto" w:sz="6" w:space="0"/>
            </w:tcBorders>
            <w:noWrap/>
            <w:vAlign w:val="center"/>
          </w:tcPr>
          <w:p w14:paraId="4B077C30">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技术要求</w:t>
            </w:r>
          </w:p>
        </w:tc>
      </w:tr>
      <w:tr w14:paraId="706E8ED8">
        <w:tblPrEx>
          <w:tblCellMar>
            <w:top w:w="0" w:type="dxa"/>
            <w:left w:w="10" w:type="dxa"/>
            <w:bottom w:w="0" w:type="dxa"/>
            <w:right w:w="10" w:type="dxa"/>
          </w:tblCellMar>
        </w:tblPrEx>
        <w:trPr>
          <w:trHeight w:val="828" w:hRule="atLeast"/>
          <w:jc w:val="center"/>
        </w:trPr>
        <w:tc>
          <w:tcPr>
            <w:tcW w:w="885" w:type="dxa"/>
            <w:tcBorders>
              <w:top w:val="single" w:color="auto" w:sz="6" w:space="0"/>
              <w:left w:val="single" w:color="auto" w:sz="6" w:space="0"/>
              <w:bottom w:val="single" w:color="auto" w:sz="6" w:space="0"/>
              <w:right w:val="single" w:color="auto" w:sz="6" w:space="0"/>
            </w:tcBorders>
            <w:noWrap/>
            <w:vAlign w:val="center"/>
          </w:tcPr>
          <w:p w14:paraId="1390E0D7">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一</w:t>
            </w:r>
          </w:p>
        </w:tc>
        <w:tc>
          <w:tcPr>
            <w:tcW w:w="4230" w:type="dxa"/>
            <w:tcBorders>
              <w:top w:val="single" w:color="auto" w:sz="6" w:space="0"/>
              <w:left w:val="single" w:color="auto" w:sz="6" w:space="0"/>
              <w:bottom w:val="single" w:color="auto" w:sz="6" w:space="0"/>
              <w:right w:val="single" w:color="auto" w:sz="6" w:space="0"/>
            </w:tcBorders>
            <w:noWrap/>
            <w:vAlign w:val="center"/>
          </w:tcPr>
          <w:p w14:paraId="16D3A3EE">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lang w:val="en-US"/>
              </w:rPr>
            </w:pPr>
            <w:r>
              <w:rPr>
                <w:rFonts w:hint="eastAsia" w:ascii="仿宋" w:hAnsi="仿宋" w:eastAsia="仿宋" w:cs="仿宋"/>
                <w:color w:val="auto"/>
                <w:sz w:val="24"/>
                <w:highlight w:val="none"/>
                <w:u w:val="none"/>
                <w:lang w:val="en-US" w:eastAsia="zh-CN"/>
              </w:rPr>
              <w:t>湖州南太湖新区道路交通安全隐患综合治理服务项目（2025-2026年度）-（康山街道、凤凰街道、杨家埠街道区域）</w:t>
            </w:r>
          </w:p>
        </w:tc>
        <w:tc>
          <w:tcPr>
            <w:tcW w:w="885" w:type="dxa"/>
            <w:tcBorders>
              <w:top w:val="single" w:color="auto" w:sz="6" w:space="0"/>
              <w:left w:val="single" w:color="auto" w:sz="6" w:space="0"/>
              <w:bottom w:val="single" w:color="auto" w:sz="6" w:space="0"/>
              <w:right w:val="single" w:color="auto" w:sz="4" w:space="0"/>
            </w:tcBorders>
            <w:noWrap/>
            <w:vAlign w:val="center"/>
          </w:tcPr>
          <w:p w14:paraId="6A4F9AA7">
            <w:pPr>
              <w:keepNext w:val="0"/>
              <w:keepLines w:val="0"/>
              <w:widowControl/>
              <w:suppressLineNumbers w:val="0"/>
              <w:spacing w:before="0" w:beforeAutospacing="0" w:after="0" w:afterAutospacing="0" w:line="500" w:lineRule="exact"/>
              <w:ind w:left="60" w:leftChars="0" w:right="60" w:rightChars="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2年</w:t>
            </w:r>
          </w:p>
        </w:tc>
        <w:tc>
          <w:tcPr>
            <w:tcW w:w="1515" w:type="dxa"/>
            <w:tcBorders>
              <w:top w:val="single" w:color="auto" w:sz="4" w:space="0"/>
              <w:left w:val="single" w:color="auto" w:sz="4" w:space="0"/>
              <w:bottom w:val="single" w:color="auto" w:sz="4" w:space="0"/>
              <w:right w:val="single" w:color="auto" w:sz="4" w:space="0"/>
            </w:tcBorders>
            <w:noWrap/>
            <w:vAlign w:val="center"/>
          </w:tcPr>
          <w:p w14:paraId="342A5202">
            <w:pPr>
              <w:keepNext w:val="0"/>
              <w:keepLines w:val="0"/>
              <w:widowControl/>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360万元（180万/年）</w:t>
            </w:r>
          </w:p>
        </w:tc>
        <w:tc>
          <w:tcPr>
            <w:tcW w:w="2310" w:type="dxa"/>
            <w:tcBorders>
              <w:top w:val="single" w:color="auto" w:sz="4" w:space="0"/>
              <w:left w:val="single" w:color="auto" w:sz="4" w:space="0"/>
              <w:bottom w:val="single" w:color="auto" w:sz="4" w:space="0"/>
              <w:right w:val="single" w:color="auto" w:sz="4" w:space="0"/>
            </w:tcBorders>
            <w:noWrap/>
            <w:vAlign w:val="center"/>
          </w:tcPr>
          <w:p w14:paraId="01C5FF81">
            <w:pPr>
              <w:keepNext w:val="0"/>
              <w:keepLines w:val="0"/>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详见</w:t>
            </w:r>
            <w:r>
              <w:rPr>
                <w:rFonts w:hint="eastAsia" w:ascii="仿宋" w:hAnsi="仿宋" w:eastAsia="仿宋" w:cs="仿宋"/>
                <w:color w:val="auto"/>
                <w:kern w:val="0"/>
                <w:sz w:val="24"/>
                <w:highlight w:val="none"/>
                <w:lang w:val="en-US" w:eastAsia="zh-CN"/>
              </w:rPr>
              <w:t>第二章招标需求</w:t>
            </w:r>
          </w:p>
        </w:tc>
      </w:tr>
      <w:tr w14:paraId="0EDB2816">
        <w:tblPrEx>
          <w:tblCellMar>
            <w:top w:w="0" w:type="dxa"/>
            <w:left w:w="10" w:type="dxa"/>
            <w:bottom w:w="0" w:type="dxa"/>
            <w:right w:w="10" w:type="dxa"/>
          </w:tblCellMar>
        </w:tblPrEx>
        <w:trPr>
          <w:trHeight w:val="828" w:hRule="atLeast"/>
          <w:jc w:val="center"/>
        </w:trPr>
        <w:tc>
          <w:tcPr>
            <w:tcW w:w="885" w:type="dxa"/>
            <w:tcBorders>
              <w:top w:val="single" w:color="auto" w:sz="6" w:space="0"/>
              <w:left w:val="single" w:color="auto" w:sz="6" w:space="0"/>
              <w:bottom w:val="single" w:color="auto" w:sz="6" w:space="0"/>
              <w:right w:val="single" w:color="auto" w:sz="6" w:space="0"/>
            </w:tcBorders>
            <w:noWrap/>
            <w:vAlign w:val="center"/>
          </w:tcPr>
          <w:p w14:paraId="2BC46667">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二</w:t>
            </w:r>
          </w:p>
        </w:tc>
        <w:tc>
          <w:tcPr>
            <w:tcW w:w="4230" w:type="dxa"/>
            <w:tcBorders>
              <w:top w:val="single" w:color="auto" w:sz="6" w:space="0"/>
              <w:left w:val="single" w:color="auto" w:sz="6" w:space="0"/>
              <w:bottom w:val="single" w:color="auto" w:sz="6" w:space="0"/>
              <w:right w:val="single" w:color="auto" w:sz="6" w:space="0"/>
            </w:tcBorders>
            <w:noWrap/>
            <w:vAlign w:val="center"/>
          </w:tcPr>
          <w:p w14:paraId="3BA22572">
            <w:pPr>
              <w:keepNext w:val="0"/>
              <w:keepLines w:val="0"/>
              <w:widowControl/>
              <w:suppressLineNumbers w:val="0"/>
              <w:spacing w:before="0" w:beforeAutospacing="0" w:after="0" w:afterAutospacing="0" w:line="500" w:lineRule="exact"/>
              <w:ind w:left="60" w:right="60"/>
              <w:jc w:val="center"/>
              <w:rPr>
                <w:rFonts w:hint="eastAsia" w:ascii="仿宋" w:hAnsi="仿宋" w:eastAsia="仿宋" w:cs="仿宋"/>
                <w:color w:val="auto"/>
                <w:sz w:val="24"/>
                <w:highlight w:val="none"/>
                <w:u w:val="none"/>
                <w:lang w:val="en-US" w:eastAsia="zh-CN"/>
              </w:rPr>
            </w:pPr>
            <w:r>
              <w:rPr>
                <w:rFonts w:hint="eastAsia" w:ascii="仿宋" w:hAnsi="仿宋" w:eastAsia="仿宋" w:cs="仿宋"/>
                <w:color w:val="auto"/>
                <w:sz w:val="24"/>
                <w:highlight w:val="none"/>
                <w:u w:val="none"/>
                <w:lang w:val="en-US" w:eastAsia="zh-CN"/>
              </w:rPr>
              <w:t>湖州南太湖新区道路交通安全隐患综合治理服务项目（2025-2026年度）-（龙溪街道、滨湖街道区域）</w:t>
            </w:r>
          </w:p>
        </w:tc>
        <w:tc>
          <w:tcPr>
            <w:tcW w:w="885" w:type="dxa"/>
            <w:tcBorders>
              <w:top w:val="single" w:color="auto" w:sz="6" w:space="0"/>
              <w:left w:val="single" w:color="auto" w:sz="6" w:space="0"/>
              <w:bottom w:val="single" w:color="auto" w:sz="6" w:space="0"/>
              <w:right w:val="single" w:color="auto" w:sz="4" w:space="0"/>
            </w:tcBorders>
            <w:shd w:val="clear" w:color="auto" w:fill="auto"/>
            <w:noWrap/>
            <w:vAlign w:val="center"/>
          </w:tcPr>
          <w:p w14:paraId="4BA44220">
            <w:pPr>
              <w:keepNext w:val="0"/>
              <w:keepLines w:val="0"/>
              <w:widowControl/>
              <w:suppressLineNumbers w:val="0"/>
              <w:spacing w:before="0" w:beforeAutospacing="0" w:after="0" w:afterAutospacing="0" w:line="500" w:lineRule="exact"/>
              <w:ind w:left="60" w:leftChars="0" w:right="60" w:rightChars="0"/>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lang w:val="en-US" w:eastAsia="zh-CN"/>
              </w:rPr>
              <w:t>2年</w:t>
            </w:r>
          </w:p>
        </w:tc>
        <w:tc>
          <w:tcPr>
            <w:tcW w:w="151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B8AB6D">
            <w:pPr>
              <w:keepNext w:val="0"/>
              <w:keepLines w:val="0"/>
              <w:widowControl/>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lang w:val="en-US" w:eastAsia="zh-CN"/>
              </w:rPr>
              <w:t>400万元（200万/年）</w:t>
            </w:r>
          </w:p>
        </w:tc>
        <w:tc>
          <w:tcPr>
            <w:tcW w:w="231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96022D">
            <w:pPr>
              <w:keepNext w:val="0"/>
              <w:keepLines w:val="0"/>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详见</w:t>
            </w:r>
            <w:r>
              <w:rPr>
                <w:rFonts w:hint="eastAsia" w:ascii="仿宋" w:hAnsi="仿宋" w:eastAsia="仿宋" w:cs="仿宋"/>
                <w:color w:val="auto"/>
                <w:kern w:val="0"/>
                <w:sz w:val="24"/>
                <w:highlight w:val="none"/>
                <w:lang w:val="en-US" w:eastAsia="zh-CN"/>
              </w:rPr>
              <w:t>第二章招标需求</w:t>
            </w:r>
          </w:p>
        </w:tc>
      </w:tr>
      <w:tr w14:paraId="32208C8D">
        <w:tblPrEx>
          <w:tblCellMar>
            <w:top w:w="0" w:type="dxa"/>
            <w:left w:w="10" w:type="dxa"/>
            <w:bottom w:w="0" w:type="dxa"/>
            <w:right w:w="10" w:type="dxa"/>
          </w:tblCellMar>
        </w:tblPrEx>
        <w:trPr>
          <w:trHeight w:val="828" w:hRule="atLeast"/>
          <w:jc w:val="center"/>
        </w:trPr>
        <w:tc>
          <w:tcPr>
            <w:tcW w:w="9825" w:type="dxa"/>
            <w:gridSpan w:val="5"/>
            <w:tcBorders>
              <w:top w:val="single" w:color="auto" w:sz="6" w:space="0"/>
              <w:left w:val="single" w:color="auto" w:sz="6" w:space="0"/>
              <w:bottom w:val="single" w:color="auto" w:sz="6" w:space="0"/>
              <w:right w:val="single" w:color="auto" w:sz="4" w:space="0"/>
            </w:tcBorders>
            <w:noWrap/>
            <w:vAlign w:val="center"/>
          </w:tcPr>
          <w:p w14:paraId="3AFB1E3E">
            <w:pPr>
              <w:keepNext w:val="0"/>
              <w:keepLines w:val="0"/>
              <w:suppressLineNumbers w:val="0"/>
              <w:spacing w:before="0" w:beforeAutospacing="0" w:after="0" w:afterAutospacing="0" w:line="500" w:lineRule="exact"/>
              <w:ind w:left="0" w:leftChars="0" w:right="60" w:rightChars="0"/>
              <w:jc w:val="left"/>
              <w:rPr>
                <w:rFonts w:hint="eastAsia" w:ascii="仿宋" w:hAnsi="仿宋" w:eastAsia="仿宋" w:cs="仿宋"/>
                <w:color w:val="auto"/>
                <w:kern w:val="0"/>
                <w:sz w:val="24"/>
                <w:highlight w:val="none"/>
              </w:rPr>
            </w:pPr>
            <w:r>
              <w:rPr>
                <w:rFonts w:hint="eastAsia" w:ascii="仿宋" w:hAnsi="仿宋" w:eastAsia="仿宋" w:cs="仿宋"/>
                <w:b w:val="0"/>
                <w:bCs w:val="0"/>
                <w:color w:val="auto"/>
                <w:sz w:val="24"/>
                <w:highlight w:val="none"/>
                <w:lang w:val="en-US" w:eastAsia="zh-CN"/>
              </w:rPr>
              <w:t>注：本项目分2个标项进行采购，2个标项同时开标，评标顺序按标项顺序，符合条件的供应商允许多个标项报名并进行多个标项评审，但同一供应商最多只能中标1个标项，中标顺序按评标顺序，已推荐为标项一第一中标候选人的供应商不再推荐为标项二的中标候选人。</w:t>
            </w:r>
          </w:p>
        </w:tc>
      </w:tr>
    </w:tbl>
    <w:p w14:paraId="61CC5FF9">
      <w:pPr>
        <w:spacing w:line="380" w:lineRule="exact"/>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五、投标人资格要求:</w:t>
      </w:r>
    </w:p>
    <w:p w14:paraId="0C25AED3">
      <w:pPr>
        <w:spacing w:line="560" w:lineRule="exact"/>
        <w:ind w:firstLine="480" w:firstLineChars="200"/>
        <w:rPr>
          <w:rFonts w:hint="eastAsia" w:ascii="仿宋" w:hAnsi="仿宋" w:eastAsia="仿宋" w:cs="仿宋"/>
          <w:color w:val="auto"/>
          <w:sz w:val="24"/>
          <w:highlight w:val="none"/>
        </w:rPr>
      </w:pPr>
      <w:bookmarkStart w:id="3" w:name="_Toc8034"/>
      <w:bookmarkStart w:id="4" w:name="_Toc98731748"/>
      <w:bookmarkStart w:id="5" w:name="_Toc130094905"/>
      <w:r>
        <w:rPr>
          <w:rFonts w:hint="eastAsia" w:ascii="仿宋" w:hAnsi="仿宋" w:eastAsia="仿宋" w:cs="仿宋"/>
          <w:color w:val="auto"/>
          <w:sz w:val="24"/>
          <w:highlight w:val="none"/>
        </w:rPr>
        <w:t>1、符合《中华人民共和国政府采购法》第二十二条规定,且未被“信用中国”（www.creditchina.gov.cn）、“中国政府采购网”（www.ccgp.gov.cn）等列入失信被执行人、重大税收违法案件当事人名单、政府采购严重违法失信行为记录名单。</w:t>
      </w:r>
    </w:p>
    <w:p w14:paraId="3BC26484">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2、本项目专门面向中小企业采购, 供应商需符合《政府采购促进中小企业发展管理办法》（财库【2020】46号）和提供本采购文件规定的《中小企业声明函》(监狱企业参加投标提供《监狱企业声明函》及其相关的证明材料、残疾人福利性单位参加投标提供《残疾人福利性单位声明函》，视为小型、微型企业，享受小微企业政策扶持)。</w:t>
      </w:r>
    </w:p>
    <w:p w14:paraId="4B73FBF3">
      <w:pPr>
        <w:spacing w:line="560" w:lineRule="exact"/>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3</w:t>
      </w:r>
      <w:r>
        <w:rPr>
          <w:rFonts w:hint="eastAsia" w:ascii="仿宋" w:hAnsi="仿宋" w:eastAsia="仿宋" w:cs="仿宋"/>
          <w:b/>
          <w:bCs/>
          <w:color w:val="auto"/>
          <w:sz w:val="24"/>
          <w:highlight w:val="none"/>
        </w:rPr>
        <w:t>、本项目的特定资格要求：</w:t>
      </w:r>
    </w:p>
    <w:p w14:paraId="4B41F84D">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3.1</w:t>
      </w:r>
      <w:r>
        <w:rPr>
          <w:rFonts w:hint="eastAsia" w:ascii="仿宋" w:hAnsi="仿宋" w:eastAsia="仿宋" w:cs="仿宋"/>
          <w:color w:val="auto"/>
          <w:sz w:val="24"/>
          <w:highlight w:val="none"/>
        </w:rPr>
        <w:t>具备“公路交通工程专业承包（公路安全设施分项）二级及以上资质”（浙江省外企业应按规定办理“省外建设工程企业进浙备案”手续）；</w:t>
      </w:r>
    </w:p>
    <w:p w14:paraId="6C85FE10">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3.2</w:t>
      </w:r>
      <w:r>
        <w:rPr>
          <w:rFonts w:hint="eastAsia" w:ascii="仿宋" w:hAnsi="仿宋" w:eastAsia="仿宋" w:cs="仿宋"/>
          <w:color w:val="auto"/>
          <w:sz w:val="24"/>
          <w:highlight w:val="none"/>
        </w:rPr>
        <w:t>具备“公路交通工程专业承包（公路机电工程分项）二级及以上资质</w:t>
      </w:r>
      <w:r>
        <w:rPr>
          <w:rFonts w:hint="eastAsia" w:ascii="仿宋" w:hAnsi="仿宋" w:eastAsia="仿宋" w:cs="仿宋"/>
          <w:color w:val="auto"/>
          <w:sz w:val="24"/>
          <w:highlight w:val="none"/>
          <w:lang w:eastAsia="zh-CN"/>
        </w:rPr>
        <w:t>或电子与智能化工程专业承包二级及以上资质</w:t>
      </w:r>
      <w:r>
        <w:rPr>
          <w:rFonts w:hint="eastAsia" w:ascii="仿宋" w:hAnsi="仿宋" w:eastAsia="仿宋" w:cs="仿宋"/>
          <w:color w:val="auto"/>
          <w:sz w:val="24"/>
          <w:highlight w:val="none"/>
        </w:rPr>
        <w:t xml:space="preserve">”（浙江省外企业应按规定办理“省外建设工程企业进浙备案”手续）。  </w:t>
      </w:r>
    </w:p>
    <w:p w14:paraId="73193661">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、本项目接受联合体投标，联合体不得超过两家</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且联合体牵头人单位必须具备</w:t>
      </w:r>
      <w:r>
        <w:rPr>
          <w:rFonts w:hint="eastAsia" w:ascii="仿宋" w:hAnsi="仿宋" w:eastAsia="仿宋" w:cs="仿宋"/>
          <w:color w:val="auto"/>
          <w:sz w:val="24"/>
          <w:highlight w:val="none"/>
          <w:lang w:val="en-US" w:eastAsia="zh-CN"/>
        </w:rPr>
        <w:t>3.1项</w:t>
      </w:r>
      <w:r>
        <w:rPr>
          <w:rFonts w:hint="eastAsia" w:ascii="仿宋" w:hAnsi="仿宋" w:eastAsia="仿宋" w:cs="仿宋"/>
          <w:color w:val="auto"/>
          <w:sz w:val="24"/>
          <w:highlight w:val="none"/>
        </w:rPr>
        <w:t>资质。</w:t>
      </w:r>
    </w:p>
    <w:p w14:paraId="06EC491E">
      <w:pPr>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六、招标文件的获取:</w:t>
      </w:r>
    </w:p>
    <w:p w14:paraId="2E0FCC53">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1、获取招标文件时间：</w:t>
      </w:r>
      <w:r>
        <w:rPr>
          <w:rFonts w:hint="eastAsia" w:ascii="仿宋" w:hAnsi="仿宋" w:eastAsia="仿宋" w:cs="仿宋"/>
          <w:color w:val="auto"/>
          <w:sz w:val="24"/>
          <w:highlight w:val="none"/>
          <w:shd w:val="pct10" w:color="auto" w:fill="FFFFFF"/>
          <w:lang w:val="en-US" w:eastAsia="zh-CN"/>
        </w:rPr>
        <w:t>2025</w:t>
      </w:r>
      <w:r>
        <w:rPr>
          <w:rFonts w:hint="eastAsia" w:ascii="仿宋" w:hAnsi="仿宋" w:eastAsia="仿宋" w:cs="仿宋"/>
          <w:color w:val="auto"/>
          <w:sz w:val="24"/>
          <w:highlight w:val="none"/>
          <w:shd w:val="pct10" w:color="auto" w:fill="FFFFFF"/>
        </w:rPr>
        <w:t>年</w:t>
      </w:r>
      <w:r>
        <w:rPr>
          <w:rFonts w:hint="eastAsia" w:ascii="仿宋" w:hAnsi="仿宋" w:eastAsia="仿宋" w:cs="仿宋"/>
          <w:color w:val="auto"/>
          <w:sz w:val="24"/>
          <w:highlight w:val="none"/>
          <w:shd w:val="pct10" w:color="auto" w:fill="FFFFFF"/>
          <w:lang w:val="en-US" w:eastAsia="zh-CN"/>
        </w:rPr>
        <w:t>2</w:t>
      </w:r>
      <w:r>
        <w:rPr>
          <w:rFonts w:hint="eastAsia" w:ascii="仿宋" w:hAnsi="仿宋" w:eastAsia="仿宋" w:cs="仿宋"/>
          <w:color w:val="auto"/>
          <w:sz w:val="24"/>
          <w:highlight w:val="none"/>
          <w:shd w:val="pct10" w:color="auto" w:fill="FFFFFF"/>
        </w:rPr>
        <w:t>月</w:t>
      </w:r>
      <w:r>
        <w:rPr>
          <w:rFonts w:hint="eastAsia" w:ascii="仿宋" w:hAnsi="仿宋" w:eastAsia="仿宋" w:cs="仿宋"/>
          <w:color w:val="auto"/>
          <w:sz w:val="24"/>
          <w:highlight w:val="none"/>
          <w:shd w:val="pct10" w:color="auto" w:fill="FFFFFF"/>
          <w:lang w:val="en-US" w:eastAsia="zh-CN"/>
        </w:rPr>
        <w:t>19</w:t>
      </w:r>
      <w:r>
        <w:rPr>
          <w:rFonts w:hint="eastAsia" w:ascii="仿宋" w:hAnsi="仿宋" w:eastAsia="仿宋" w:cs="仿宋"/>
          <w:color w:val="auto"/>
          <w:sz w:val="24"/>
          <w:highlight w:val="none"/>
          <w:shd w:val="pct10" w:color="auto" w:fill="FFFFFF"/>
        </w:rPr>
        <w:t>日至投标截止时间</w:t>
      </w:r>
      <w:r>
        <w:rPr>
          <w:rFonts w:hint="eastAsia" w:ascii="仿宋" w:hAnsi="仿宋" w:eastAsia="仿宋" w:cs="仿宋"/>
          <w:color w:val="auto"/>
          <w:sz w:val="24"/>
          <w:highlight w:val="none"/>
        </w:rPr>
        <w:t>(潜在投标人获取采购文件前应当在电子交易平台上注册账号并登录，截止时间后不再接受潜在投标人获取采购文件)。</w:t>
      </w:r>
    </w:p>
    <w:p w14:paraId="02BEB962">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本项目招标文件实行网上获取，不在接受投标人现场报名。投标人登录浙江政府采购网（http://zfcg.czt.zj.gov.cn/)进入政采云系统“项目采购”模块“获取采购文件”菜单，进行网上获取招标文件。（“政采云”注册账号、密码登录系统后获取采购文件）。</w:t>
      </w:r>
      <w:bookmarkStart w:id="11" w:name="_GoBack"/>
      <w:bookmarkEnd w:id="11"/>
    </w:p>
    <w:p w14:paraId="3A07042D">
      <w:pPr>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3、免费注册网址：浙江政府采购网（投标人注册页面）:https://middle.zcygov.cn/“政采云”，咨询电话：</w:t>
      </w:r>
      <w:r>
        <w:rPr>
          <w:rFonts w:hint="eastAsia" w:ascii="仿宋" w:hAnsi="仿宋" w:eastAsia="仿宋" w:cs="仿宋"/>
          <w:color w:val="auto"/>
          <w:sz w:val="24"/>
          <w:highlight w:val="none"/>
          <w:lang w:val="en-US" w:eastAsia="zh-CN"/>
        </w:rPr>
        <w:t>95763</w:t>
      </w:r>
      <w:r>
        <w:rPr>
          <w:rFonts w:hint="eastAsia" w:ascii="仿宋" w:hAnsi="仿宋" w:eastAsia="仿宋" w:cs="仿宋"/>
          <w:color w:val="auto"/>
          <w:sz w:val="24"/>
          <w:highlight w:val="none"/>
        </w:rPr>
        <w:t>。已经注册成功的投标人无需重复注册</w:t>
      </w:r>
      <w:r>
        <w:rPr>
          <w:rFonts w:hint="eastAsia" w:ascii="仿宋" w:hAnsi="仿宋" w:eastAsia="仿宋" w:cs="仿宋"/>
          <w:color w:val="auto"/>
          <w:sz w:val="24"/>
          <w:highlight w:val="none"/>
          <w:lang w:eastAsia="zh-CN"/>
        </w:rPr>
        <w:t>。</w:t>
      </w:r>
    </w:p>
    <w:p w14:paraId="0C509640">
      <w:pPr>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七、投标文件的递交及相关事宜</w:t>
      </w:r>
    </w:p>
    <w:p w14:paraId="60ED9C15">
      <w:pPr>
        <w:spacing w:line="560" w:lineRule="exact"/>
        <w:ind w:firstLine="480" w:firstLineChars="200"/>
        <w:rPr>
          <w:rFonts w:hint="eastAsia" w:ascii="仿宋" w:hAnsi="仿宋" w:eastAsia="仿宋" w:cs="仿宋"/>
          <w:b/>
          <w:color w:val="auto"/>
          <w:sz w:val="24"/>
          <w:highlight w:val="none"/>
        </w:rPr>
      </w:pPr>
      <w:r>
        <w:rPr>
          <w:rFonts w:hint="eastAsia" w:ascii="仿宋" w:hAnsi="仿宋" w:eastAsia="仿宋" w:cs="仿宋"/>
          <w:color w:val="auto"/>
          <w:sz w:val="24"/>
          <w:highlight w:val="none"/>
        </w:rPr>
        <w:t>1、投标文件递交的截止时间（投标截止时间，下同）为</w:t>
      </w:r>
      <w:r>
        <w:rPr>
          <w:rFonts w:hint="eastAsia" w:ascii="仿宋" w:hAnsi="仿宋" w:eastAsia="仿宋" w:cs="仿宋"/>
          <w:color w:val="auto"/>
          <w:sz w:val="24"/>
          <w:highlight w:val="none"/>
          <w:shd w:val="pct10" w:color="auto" w:fill="FFFFFF"/>
        </w:rPr>
        <w:t>202</w:t>
      </w:r>
      <w:r>
        <w:rPr>
          <w:rFonts w:hint="eastAsia" w:ascii="仿宋" w:hAnsi="仿宋" w:eastAsia="仿宋" w:cs="仿宋"/>
          <w:color w:val="auto"/>
          <w:sz w:val="24"/>
          <w:highlight w:val="none"/>
          <w:shd w:val="pct10" w:color="auto" w:fill="FFFFFF"/>
          <w:lang w:val="en-US" w:eastAsia="zh-CN"/>
        </w:rPr>
        <w:t>5</w:t>
      </w:r>
      <w:r>
        <w:rPr>
          <w:rFonts w:hint="eastAsia" w:ascii="仿宋" w:hAnsi="仿宋" w:eastAsia="仿宋" w:cs="仿宋"/>
          <w:color w:val="auto"/>
          <w:sz w:val="24"/>
          <w:highlight w:val="none"/>
          <w:shd w:val="pct10" w:color="auto" w:fill="FFFFFF"/>
        </w:rPr>
        <w:t>年</w:t>
      </w:r>
      <w:r>
        <w:rPr>
          <w:rFonts w:hint="eastAsia" w:ascii="仿宋" w:hAnsi="仿宋" w:eastAsia="仿宋" w:cs="仿宋"/>
          <w:color w:val="auto"/>
          <w:sz w:val="24"/>
          <w:highlight w:val="none"/>
          <w:shd w:val="pct10" w:color="auto" w:fill="FFFFFF"/>
          <w:lang w:val="en-US" w:eastAsia="zh-CN"/>
        </w:rPr>
        <w:t>3</w:t>
      </w:r>
      <w:r>
        <w:rPr>
          <w:rFonts w:hint="eastAsia" w:ascii="仿宋" w:hAnsi="仿宋" w:eastAsia="仿宋" w:cs="仿宋"/>
          <w:color w:val="auto"/>
          <w:sz w:val="24"/>
          <w:highlight w:val="none"/>
          <w:shd w:val="pct10" w:color="auto" w:fill="FFFFFF"/>
        </w:rPr>
        <w:t>月</w:t>
      </w:r>
      <w:r>
        <w:rPr>
          <w:rFonts w:hint="eastAsia" w:ascii="仿宋" w:hAnsi="仿宋" w:eastAsia="仿宋" w:cs="仿宋"/>
          <w:color w:val="auto"/>
          <w:sz w:val="24"/>
          <w:highlight w:val="none"/>
          <w:shd w:val="pct10" w:color="auto" w:fill="FFFFFF"/>
          <w:lang w:val="en-US" w:eastAsia="zh-CN"/>
        </w:rPr>
        <w:t>11</w:t>
      </w:r>
      <w:r>
        <w:rPr>
          <w:rFonts w:hint="eastAsia" w:ascii="仿宋" w:hAnsi="仿宋" w:eastAsia="仿宋" w:cs="仿宋"/>
          <w:color w:val="auto"/>
          <w:sz w:val="24"/>
          <w:highlight w:val="none"/>
          <w:shd w:val="pct10" w:color="auto" w:fill="FFFFFF"/>
        </w:rPr>
        <w:t>日</w:t>
      </w:r>
      <w:r>
        <w:rPr>
          <w:rFonts w:hint="eastAsia" w:ascii="仿宋" w:hAnsi="仿宋" w:eastAsia="仿宋" w:cs="仿宋"/>
          <w:color w:val="auto"/>
          <w:sz w:val="24"/>
          <w:highlight w:val="none"/>
          <w:shd w:val="pct10" w:color="auto" w:fill="FFFFFF"/>
          <w:lang w:val="en-US" w:eastAsia="zh-CN"/>
        </w:rPr>
        <w:t>9</w:t>
      </w:r>
      <w:r>
        <w:rPr>
          <w:rFonts w:hint="eastAsia" w:ascii="仿宋" w:hAnsi="仿宋" w:eastAsia="仿宋" w:cs="仿宋"/>
          <w:color w:val="auto"/>
          <w:sz w:val="24"/>
          <w:highlight w:val="none"/>
          <w:shd w:val="pct10" w:color="auto" w:fill="FFFFFF"/>
          <w:lang w:eastAsia="zh-CN"/>
        </w:rPr>
        <w:t>:</w:t>
      </w:r>
      <w:r>
        <w:rPr>
          <w:rFonts w:hint="eastAsia" w:ascii="仿宋" w:hAnsi="仿宋" w:eastAsia="仿宋" w:cs="仿宋"/>
          <w:color w:val="auto"/>
          <w:sz w:val="24"/>
          <w:highlight w:val="none"/>
          <w:shd w:val="pct10" w:color="auto" w:fill="FFFFFF"/>
          <w:lang w:val="en-US" w:eastAsia="zh-CN"/>
        </w:rPr>
        <w:t>0</w:t>
      </w:r>
      <w:r>
        <w:rPr>
          <w:rFonts w:hint="eastAsia" w:ascii="仿宋" w:hAnsi="仿宋" w:eastAsia="仿宋" w:cs="仿宋"/>
          <w:color w:val="auto"/>
          <w:sz w:val="24"/>
          <w:highlight w:val="none"/>
          <w:shd w:val="pct10" w:color="auto" w:fill="FFFFFF"/>
          <w:lang w:eastAsia="zh-CN"/>
        </w:rPr>
        <w:t>0时</w:t>
      </w:r>
      <w:r>
        <w:rPr>
          <w:rFonts w:hint="eastAsia" w:ascii="仿宋" w:hAnsi="仿宋" w:eastAsia="仿宋" w:cs="仿宋"/>
          <w:color w:val="auto"/>
          <w:sz w:val="24"/>
          <w:highlight w:val="none"/>
          <w:shd w:val="pct10" w:color="auto" w:fill="FFFFFF"/>
        </w:rPr>
        <w:t>（北京时间）</w:t>
      </w:r>
      <w:r>
        <w:rPr>
          <w:rFonts w:hint="eastAsia" w:ascii="仿宋" w:hAnsi="仿宋" w:eastAsia="仿宋" w:cs="仿宋"/>
          <w:color w:val="auto"/>
          <w:sz w:val="24"/>
          <w:highlight w:val="none"/>
        </w:rPr>
        <w:t>。</w:t>
      </w:r>
    </w:p>
    <w:p w14:paraId="24EBBA1D">
      <w:pPr>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2、投标文件递交方式：</w:t>
      </w:r>
    </w:p>
    <w:p w14:paraId="70FE2EBC">
      <w:pPr>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(1)电子投标文件：按政采云平台项目采购-电子交易操作指南及本招标文件要求递交。投标人应于</w:t>
      </w:r>
      <w:r>
        <w:rPr>
          <w:rFonts w:hint="eastAsia" w:ascii="仿宋" w:hAnsi="仿宋" w:eastAsia="仿宋" w:cs="仿宋"/>
          <w:color w:val="auto"/>
          <w:sz w:val="24"/>
          <w:highlight w:val="none"/>
          <w:shd w:val="pct10" w:color="auto" w:fill="FFFFFF"/>
        </w:rPr>
        <w:t>20</w:t>
      </w:r>
      <w:r>
        <w:rPr>
          <w:rFonts w:hint="eastAsia" w:ascii="仿宋" w:hAnsi="仿宋" w:eastAsia="仿宋" w:cs="仿宋"/>
          <w:color w:val="auto"/>
          <w:sz w:val="24"/>
          <w:highlight w:val="none"/>
          <w:shd w:val="pct10" w:color="auto" w:fill="FFFFFF"/>
          <w:lang w:val="en-US" w:eastAsia="zh-CN"/>
        </w:rPr>
        <w:t>25</w:t>
      </w:r>
      <w:r>
        <w:rPr>
          <w:rFonts w:hint="eastAsia" w:ascii="仿宋" w:hAnsi="仿宋" w:eastAsia="仿宋" w:cs="仿宋"/>
          <w:color w:val="auto"/>
          <w:sz w:val="24"/>
          <w:highlight w:val="none"/>
          <w:shd w:val="pct10" w:color="auto" w:fill="FFFFFF"/>
        </w:rPr>
        <w:t>年</w:t>
      </w:r>
      <w:r>
        <w:rPr>
          <w:rFonts w:hint="eastAsia" w:ascii="仿宋" w:hAnsi="仿宋" w:eastAsia="仿宋" w:cs="仿宋"/>
          <w:color w:val="auto"/>
          <w:sz w:val="24"/>
          <w:highlight w:val="none"/>
          <w:shd w:val="pct10" w:color="auto" w:fill="FFFFFF"/>
          <w:lang w:val="en-US" w:eastAsia="zh-CN"/>
        </w:rPr>
        <w:t>3</w:t>
      </w:r>
      <w:r>
        <w:rPr>
          <w:rFonts w:hint="eastAsia" w:ascii="仿宋" w:hAnsi="仿宋" w:eastAsia="仿宋" w:cs="仿宋"/>
          <w:color w:val="auto"/>
          <w:sz w:val="24"/>
          <w:highlight w:val="none"/>
          <w:shd w:val="pct10" w:color="auto" w:fill="FFFFFF"/>
        </w:rPr>
        <w:t>月</w:t>
      </w:r>
      <w:r>
        <w:rPr>
          <w:rFonts w:hint="eastAsia" w:ascii="仿宋" w:hAnsi="仿宋" w:eastAsia="仿宋" w:cs="仿宋"/>
          <w:color w:val="auto"/>
          <w:sz w:val="24"/>
          <w:highlight w:val="none"/>
          <w:shd w:val="pct10" w:color="auto" w:fill="FFFFFF"/>
          <w:lang w:val="en-US" w:eastAsia="zh-CN"/>
        </w:rPr>
        <w:t>11</w:t>
      </w:r>
      <w:r>
        <w:rPr>
          <w:rFonts w:hint="eastAsia" w:ascii="仿宋" w:hAnsi="仿宋" w:eastAsia="仿宋" w:cs="仿宋"/>
          <w:color w:val="auto"/>
          <w:sz w:val="24"/>
          <w:highlight w:val="none"/>
          <w:shd w:val="pct10" w:color="auto" w:fill="FFFFFF"/>
        </w:rPr>
        <w:t>日</w:t>
      </w:r>
      <w:r>
        <w:rPr>
          <w:rFonts w:hint="eastAsia" w:ascii="仿宋" w:hAnsi="仿宋" w:eastAsia="仿宋" w:cs="仿宋"/>
          <w:color w:val="auto"/>
          <w:sz w:val="24"/>
          <w:highlight w:val="none"/>
          <w:shd w:val="pct10" w:color="auto" w:fill="FFFFFF"/>
          <w:lang w:val="en-US" w:eastAsia="zh-CN"/>
        </w:rPr>
        <w:t>9</w:t>
      </w:r>
      <w:r>
        <w:rPr>
          <w:rFonts w:hint="eastAsia" w:ascii="仿宋" w:hAnsi="仿宋" w:eastAsia="仿宋" w:cs="仿宋"/>
          <w:color w:val="auto"/>
          <w:sz w:val="24"/>
          <w:highlight w:val="none"/>
          <w:shd w:val="pct10" w:color="auto" w:fill="FFFFFF"/>
          <w:lang w:eastAsia="zh-CN"/>
        </w:rPr>
        <w:t>:</w:t>
      </w:r>
      <w:r>
        <w:rPr>
          <w:rFonts w:hint="eastAsia" w:ascii="仿宋" w:hAnsi="仿宋" w:eastAsia="仿宋" w:cs="仿宋"/>
          <w:color w:val="auto"/>
          <w:sz w:val="24"/>
          <w:highlight w:val="none"/>
          <w:shd w:val="pct10" w:color="auto" w:fill="FFFFFF"/>
          <w:lang w:val="en-US" w:eastAsia="zh-CN"/>
        </w:rPr>
        <w:t>0</w:t>
      </w:r>
      <w:r>
        <w:rPr>
          <w:rFonts w:hint="eastAsia" w:ascii="仿宋" w:hAnsi="仿宋" w:eastAsia="仿宋" w:cs="仿宋"/>
          <w:color w:val="auto"/>
          <w:sz w:val="24"/>
          <w:highlight w:val="none"/>
          <w:shd w:val="pct10" w:color="auto" w:fill="FFFFFF"/>
          <w:lang w:eastAsia="zh-CN"/>
        </w:rPr>
        <w:t>0时</w:t>
      </w:r>
      <w:r>
        <w:rPr>
          <w:rFonts w:hint="eastAsia" w:ascii="仿宋" w:hAnsi="仿宋" w:eastAsia="仿宋" w:cs="仿宋"/>
          <w:color w:val="auto"/>
          <w:sz w:val="24"/>
          <w:highlight w:val="none"/>
        </w:rPr>
        <w:t>(北京时间）前将加密的电子版投标文件上传到政采云系统中（不准时上传视为不参加）。</w:t>
      </w:r>
    </w:p>
    <w:p w14:paraId="6E2865EE">
      <w:pPr>
        <w:spacing w:line="5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kern w:val="0"/>
          <w:sz w:val="24"/>
          <w:highlight w:val="none"/>
        </w:rPr>
        <w:t xml:space="preserve"> 数据电子备份投标文件（U盘）：以U盘形式提供的数据电子备份投标文件格式及内容须与政采云平台项目采购-电子交易操作指南中制作、加密并递交的电子投标文件格式及内容一致。</w:t>
      </w:r>
      <w:r>
        <w:rPr>
          <w:rFonts w:hint="eastAsia" w:ascii="仿宋" w:hAnsi="仿宋" w:eastAsia="仿宋" w:cs="仿宋"/>
          <w:b/>
          <w:bCs/>
          <w:color w:val="auto"/>
          <w:kern w:val="0"/>
          <w:sz w:val="24"/>
          <w:highlight w:val="none"/>
        </w:rPr>
        <w:t>递交方式：</w:t>
      </w:r>
      <w:r>
        <w:rPr>
          <w:rFonts w:hint="eastAsia" w:ascii="仿宋" w:hAnsi="仿宋" w:eastAsia="仿宋" w:cs="仿宋"/>
          <w:color w:val="auto"/>
          <w:kern w:val="0"/>
          <w:sz w:val="24"/>
          <w:highlight w:val="none"/>
        </w:rPr>
        <w:t>数据电子备份投标文件（U盘）应通过邮寄快递方式送达（原则上邮寄公司统一采用</w:t>
      </w:r>
      <w:r>
        <w:rPr>
          <w:rFonts w:hint="eastAsia" w:ascii="仿宋" w:hAnsi="仿宋" w:eastAsia="仿宋" w:cs="仿宋"/>
          <w:color w:val="auto"/>
          <w:kern w:val="0"/>
          <w:sz w:val="24"/>
          <w:highlight w:val="none"/>
          <w:lang w:val="en-US" w:eastAsia="zh-CN"/>
        </w:rPr>
        <w:t>顺丰</w:t>
      </w:r>
      <w:r>
        <w:rPr>
          <w:rFonts w:hint="eastAsia" w:ascii="仿宋" w:hAnsi="仿宋" w:eastAsia="仿宋" w:cs="仿宋"/>
          <w:color w:val="auto"/>
          <w:kern w:val="0"/>
          <w:sz w:val="24"/>
          <w:highlight w:val="none"/>
        </w:rPr>
        <w:t>），邮寄地址为：</w:t>
      </w:r>
      <w:r>
        <w:rPr>
          <w:rFonts w:hint="eastAsia" w:ascii="仿宋" w:hAnsi="仿宋" w:eastAsia="仿宋" w:cs="仿宋"/>
          <w:color w:val="auto"/>
          <w:kern w:val="0"/>
          <w:sz w:val="24"/>
          <w:highlight w:val="none"/>
          <w:lang w:eastAsia="zh-CN"/>
        </w:rPr>
        <w:t>浙江新诚信工程咨询有限公司</w:t>
      </w:r>
      <w:r>
        <w:rPr>
          <w:rFonts w:hint="eastAsia" w:ascii="仿宋" w:hAnsi="仿宋" w:eastAsia="仿宋" w:cs="仿宋"/>
          <w:color w:val="auto"/>
          <w:kern w:val="0"/>
          <w:sz w:val="24"/>
          <w:highlight w:val="none"/>
        </w:rPr>
        <w:t>[</w:t>
      </w:r>
      <w:r>
        <w:rPr>
          <w:rFonts w:hint="eastAsia" w:ascii="仿宋" w:hAnsi="仿宋" w:eastAsia="仿宋" w:cs="仿宋"/>
          <w:color w:val="auto"/>
          <w:sz w:val="24"/>
          <w:highlight w:val="none"/>
        </w:rPr>
        <w:t>湖州市太湖路1155号</w:t>
      </w:r>
      <w:r>
        <w:rPr>
          <w:rFonts w:hint="eastAsia" w:ascii="仿宋" w:hAnsi="仿宋" w:eastAsia="仿宋" w:cs="仿宋"/>
          <w:color w:val="auto"/>
          <w:sz w:val="24"/>
          <w:highlight w:val="none"/>
          <w:lang w:val="en-US" w:eastAsia="zh-CN"/>
        </w:rPr>
        <w:t>14楼1402</w:t>
      </w:r>
      <w:r>
        <w:rPr>
          <w:rFonts w:hint="eastAsia" w:ascii="仿宋" w:hAnsi="仿宋" w:eastAsia="仿宋" w:cs="仿宋"/>
          <w:color w:val="auto"/>
          <w:sz w:val="24"/>
          <w:highlight w:val="none"/>
        </w:rPr>
        <w:t>室</w:t>
      </w:r>
      <w:r>
        <w:rPr>
          <w:rFonts w:hint="eastAsia" w:ascii="仿宋" w:hAnsi="仿宋" w:eastAsia="仿宋" w:cs="仿宋"/>
          <w:color w:val="auto"/>
          <w:kern w:val="0"/>
          <w:sz w:val="24"/>
          <w:highlight w:val="none"/>
        </w:rPr>
        <w:t>]，联系电话：</w:t>
      </w:r>
      <w:r>
        <w:rPr>
          <w:rFonts w:hint="eastAsia" w:ascii="仿宋" w:hAnsi="仿宋" w:eastAsia="仿宋" w:cs="仿宋"/>
          <w:color w:val="auto"/>
          <w:kern w:val="0"/>
          <w:sz w:val="24"/>
          <w:highlight w:val="none"/>
          <w:lang w:val="en-US" w:eastAsia="zh-CN"/>
        </w:rPr>
        <w:t>18768247439</w:t>
      </w:r>
      <w:r>
        <w:rPr>
          <w:rFonts w:hint="eastAsia" w:ascii="仿宋" w:hAnsi="仿宋" w:eastAsia="仿宋" w:cs="仿宋"/>
          <w:color w:val="auto"/>
          <w:kern w:val="0"/>
          <w:sz w:val="24"/>
          <w:highlight w:val="none"/>
        </w:rPr>
        <w:t>。邮寄截止时间：投标人应于202</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10</w:t>
      </w:r>
      <w:r>
        <w:rPr>
          <w:rFonts w:hint="eastAsia" w:ascii="仿宋" w:hAnsi="仿宋" w:eastAsia="仿宋" w:cs="仿宋"/>
          <w:color w:val="auto"/>
          <w:kern w:val="0"/>
          <w:sz w:val="24"/>
          <w:highlight w:val="none"/>
        </w:rPr>
        <w:t>日17:00时前准时送达，逾期不予受理。投标人须留足投标文件邮寄时间,确保数据电子备份投标文件（U盘）于规定的时间前送达指定地点，未按时送达的，均按未提供处理。</w:t>
      </w:r>
    </w:p>
    <w:p w14:paraId="248E5A38">
      <w:pPr>
        <w:widowControl/>
        <w:spacing w:line="540" w:lineRule="exact"/>
        <w:ind w:left="44" w:leftChars="21" w:right="60" w:firstLine="482" w:firstLineChars="200"/>
        <w:jc w:val="left"/>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注：（1）投标人应权衡利弊考虑是否提供数据电子备份投标文件（U盘），</w:t>
      </w:r>
      <w:r>
        <w:rPr>
          <w:rFonts w:hint="eastAsia" w:ascii="仿宋" w:hAnsi="仿宋" w:eastAsia="仿宋" w:cs="仿宋"/>
          <w:b/>
          <w:color w:val="auto"/>
          <w:kern w:val="0"/>
          <w:sz w:val="24"/>
          <w:highlight w:val="none"/>
          <w:lang w:eastAsia="zh-CN"/>
        </w:rPr>
        <w:t>采购人</w:t>
      </w:r>
      <w:r>
        <w:rPr>
          <w:rFonts w:hint="eastAsia" w:ascii="仿宋" w:hAnsi="仿宋" w:eastAsia="仿宋" w:cs="仿宋"/>
          <w:b/>
          <w:color w:val="auto"/>
          <w:kern w:val="0"/>
          <w:sz w:val="24"/>
          <w:highlight w:val="none"/>
        </w:rPr>
        <w:t>及采购代理机构不做强制性要求，若因下一条款（第3条）原因须启用数据电子备份投标文件（U盘）时，而投标人未提供的，视为放弃投标资格，作</w:t>
      </w:r>
      <w:r>
        <w:rPr>
          <w:rFonts w:hint="eastAsia" w:ascii="仿宋" w:hAnsi="仿宋" w:eastAsia="仿宋" w:cs="仿宋"/>
          <w:b/>
          <w:color w:val="auto"/>
          <w:kern w:val="0"/>
          <w:sz w:val="24"/>
          <w:highlight w:val="none"/>
          <w:lang w:eastAsia="zh-CN"/>
        </w:rPr>
        <w:t>未递交投标文件处理</w:t>
      </w:r>
      <w:r>
        <w:rPr>
          <w:rFonts w:hint="eastAsia" w:ascii="仿宋" w:hAnsi="仿宋" w:eastAsia="仿宋" w:cs="仿宋"/>
          <w:b/>
          <w:color w:val="auto"/>
          <w:kern w:val="0"/>
          <w:sz w:val="24"/>
          <w:highlight w:val="none"/>
        </w:rPr>
        <w:t>；（2）投标人应对提供的数据电子备份投标文件（U盘）进行加密处理，若需要启用数据电子备份投标文件（U盘）时，由</w:t>
      </w:r>
      <w:r>
        <w:rPr>
          <w:rFonts w:hint="eastAsia" w:ascii="仿宋" w:hAnsi="仿宋" w:eastAsia="仿宋" w:cs="仿宋"/>
          <w:b/>
          <w:color w:val="auto"/>
          <w:kern w:val="0"/>
          <w:sz w:val="24"/>
          <w:highlight w:val="none"/>
          <w:lang w:eastAsia="zh-CN"/>
        </w:rPr>
        <w:t>采购人</w:t>
      </w:r>
      <w:r>
        <w:rPr>
          <w:rFonts w:hint="eastAsia" w:ascii="仿宋" w:hAnsi="仿宋" w:eastAsia="仿宋" w:cs="仿宋"/>
          <w:b/>
          <w:color w:val="auto"/>
          <w:kern w:val="0"/>
          <w:sz w:val="24"/>
          <w:highlight w:val="none"/>
        </w:rPr>
        <w:t>或采购代理机构启封并进行解密；（3）若投标人未提供数据电子备份投标文件（U盘），招标公告及招标文件中关于数据电子备份投标文件（U盘）的要求及内容不再适用。</w:t>
      </w:r>
    </w:p>
    <w:p w14:paraId="5DF1BCB2">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3、CA锁解密时间为开标当日投标截止时间后</w:t>
      </w:r>
      <w:r>
        <w:rPr>
          <w:rFonts w:hint="eastAsia" w:ascii="仿宋" w:hAnsi="仿宋" w:eastAsia="仿宋" w:cs="仿宋"/>
          <w:color w:val="auto"/>
          <w:sz w:val="24"/>
          <w:highlight w:val="none"/>
          <w:shd w:val="pct10" w:color="auto" w:fill="FFFFFF"/>
        </w:rPr>
        <w:t>30分钟内</w:t>
      </w:r>
      <w:r>
        <w:rPr>
          <w:rFonts w:hint="eastAsia" w:ascii="仿宋" w:hAnsi="仿宋" w:eastAsia="仿宋" w:cs="仿宋"/>
          <w:color w:val="auto"/>
          <w:sz w:val="24"/>
          <w:highlight w:val="none"/>
        </w:rPr>
        <w:t>。投标截止时间止未完成上传的电子投标文件作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；未按招标文件要求密封、包装的数据电子备份投标文件（U 盘）将拒绝接收。整个开标过程中若因投标人问题造成电子投标文件无法正常解密的，均认定为未提交电子投标文件，作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。若因网络或者其他非投标人问题造成电子投标文件无法正常解密的，启用数据电子备份投标文件（U 盘），因投标人自身原因造成数据电子备份投标文件（U 盘）无法打开的，作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。若正常解密成功，则数据电子备份投标文件（U 盘）不予开启。</w:t>
      </w:r>
    </w:p>
    <w:p w14:paraId="56CAF956">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投标人须在线获取CA数字证书（完成CA数字证书办理预计一周左右，建议各投标人自行把握时间）,办理流程详见https://service.zcygov.cn/，并登陆“浙江省政府采购网”（http://zfcg.czt.zj.gov.cn/),进入“下载专区”下载“电子交易客户端”，制作投标文件。</w:t>
      </w:r>
    </w:p>
    <w:p w14:paraId="7653ADDF">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5、投标人将加密的电子版投标文件于投标截止时间前上传到政采云系统中。</w:t>
      </w:r>
    </w:p>
    <w:p w14:paraId="16654858">
      <w:pPr>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6、具体的投标文件加密上传等操作详见政采云平台操作指南。（下载网址：https://service.zcygov.cn</w:t>
      </w:r>
      <w:r>
        <w:rPr>
          <w:rFonts w:hint="eastAsia" w:ascii="仿宋" w:hAnsi="仿宋" w:eastAsia="仿宋" w:cs="仿宋"/>
          <w:color w:val="auto"/>
          <w:sz w:val="24"/>
          <w:highlight w:val="none"/>
          <w:lang w:eastAsia="zh-CN"/>
        </w:rPr>
        <w:t>）</w:t>
      </w:r>
    </w:p>
    <w:p w14:paraId="5DB675FA">
      <w:pPr>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八、投标地址： </w:t>
      </w:r>
    </w:p>
    <w:p w14:paraId="1353776E">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1、本项目通过“政府采购云平台（www.zcygov.cn）”实行在线投标响应（电子投标）。 </w:t>
      </w:r>
    </w:p>
    <w:p w14:paraId="413860F9">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2、投标人应当在投标截止时间前，将“电子加密投标文件”上传递交至“政府采购云平台”实行在线投标响应。投标截止时间以后上传递交的投标文件将被“政府采购云平台”拒收，作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 xml:space="preserve">。 </w:t>
      </w:r>
    </w:p>
    <w:p w14:paraId="6B09E7E4">
      <w:pPr>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九、开标时间：202</w:t>
      </w:r>
      <w:r>
        <w:rPr>
          <w:rFonts w:hint="eastAsia" w:ascii="仿宋" w:hAnsi="仿宋" w:eastAsia="仿宋" w:cs="仿宋"/>
          <w:b/>
          <w:color w:val="auto"/>
          <w:sz w:val="24"/>
          <w:highlight w:val="none"/>
          <w:lang w:val="en-US" w:eastAsia="zh-CN"/>
        </w:rPr>
        <w:t>5</w:t>
      </w:r>
      <w:r>
        <w:rPr>
          <w:rFonts w:hint="eastAsia" w:ascii="仿宋" w:hAnsi="仿宋" w:eastAsia="仿宋" w:cs="仿宋"/>
          <w:b/>
          <w:color w:val="auto"/>
          <w:sz w:val="24"/>
          <w:highlight w:val="none"/>
        </w:rPr>
        <w:t>年</w:t>
      </w:r>
      <w:r>
        <w:rPr>
          <w:rFonts w:hint="eastAsia" w:ascii="仿宋" w:hAnsi="仿宋" w:eastAsia="仿宋" w:cs="仿宋"/>
          <w:b/>
          <w:color w:val="auto"/>
          <w:sz w:val="24"/>
          <w:highlight w:val="none"/>
          <w:lang w:val="en-US" w:eastAsia="zh-CN"/>
        </w:rPr>
        <w:t>3月11日9</w:t>
      </w: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lang w:val="en-US" w:eastAsia="zh-CN"/>
        </w:rPr>
        <w:t>0</w:t>
      </w:r>
      <w:r>
        <w:rPr>
          <w:rFonts w:hint="eastAsia" w:ascii="仿宋" w:hAnsi="仿宋" w:eastAsia="仿宋" w:cs="仿宋"/>
          <w:b/>
          <w:color w:val="auto"/>
          <w:sz w:val="24"/>
          <w:highlight w:val="none"/>
          <w:lang w:eastAsia="zh-CN"/>
        </w:rPr>
        <w:t>0时</w:t>
      </w:r>
      <w:r>
        <w:rPr>
          <w:rFonts w:hint="eastAsia" w:ascii="仿宋" w:hAnsi="仿宋" w:eastAsia="仿宋" w:cs="仿宋"/>
          <w:b/>
          <w:color w:val="auto"/>
          <w:sz w:val="24"/>
          <w:highlight w:val="none"/>
        </w:rPr>
        <w:t xml:space="preserve">整 </w:t>
      </w:r>
    </w:p>
    <w:p w14:paraId="649DFCEF">
      <w:pPr>
        <w:spacing w:line="500" w:lineRule="exact"/>
        <w:ind w:firstLine="482" w:firstLineChars="200"/>
        <w:rPr>
          <w:rFonts w:ascii="仿宋" w:hAnsi="仿宋" w:eastAsia="仿宋"/>
          <w:color w:val="auto"/>
          <w:sz w:val="24"/>
          <w:highlight w:val="none"/>
        </w:rPr>
      </w:pPr>
      <w:r>
        <w:rPr>
          <w:rFonts w:hint="eastAsia" w:ascii="仿宋" w:hAnsi="仿宋" w:eastAsia="仿宋" w:cs="仿宋"/>
          <w:b/>
          <w:color w:val="auto"/>
          <w:sz w:val="24"/>
          <w:highlight w:val="none"/>
        </w:rPr>
        <w:t>十、开标地址：</w:t>
      </w:r>
      <w:r>
        <w:rPr>
          <w:rFonts w:hint="eastAsia" w:ascii="仿宋" w:hAnsi="仿宋" w:eastAsia="仿宋"/>
          <w:color w:val="auto"/>
          <w:sz w:val="24"/>
          <w:highlight w:val="none"/>
        </w:rPr>
        <w:t>湖州市公共资源交易中心（湖州市仁皇山片区金盖山路</w:t>
      </w:r>
      <w:r>
        <w:rPr>
          <w:rFonts w:ascii="仿宋" w:hAnsi="仿宋" w:eastAsia="仿宋"/>
          <w:color w:val="auto"/>
          <w:sz w:val="24"/>
          <w:highlight w:val="none"/>
        </w:rPr>
        <w:t>66</w:t>
      </w:r>
      <w:r>
        <w:rPr>
          <w:rFonts w:hint="eastAsia" w:ascii="仿宋" w:hAnsi="仿宋" w:eastAsia="仿宋"/>
          <w:color w:val="auto"/>
          <w:sz w:val="24"/>
          <w:highlight w:val="none"/>
        </w:rPr>
        <w:t>号</w:t>
      </w:r>
      <w:r>
        <w:rPr>
          <w:rFonts w:ascii="仿宋" w:hAnsi="仿宋" w:eastAsia="仿宋"/>
          <w:color w:val="auto"/>
          <w:sz w:val="24"/>
          <w:highlight w:val="none"/>
        </w:rPr>
        <w:t>2</w:t>
      </w:r>
      <w:r>
        <w:rPr>
          <w:rFonts w:hint="eastAsia" w:ascii="仿宋" w:hAnsi="仿宋" w:eastAsia="仿宋"/>
          <w:color w:val="auto"/>
          <w:sz w:val="24"/>
          <w:highlight w:val="none"/>
        </w:rPr>
        <w:t>号楼二楼开标室，届时详见二楼休息区电子显示屏），投标人应在投标截止时间前登入“政府采购云平台（</w:t>
      </w:r>
      <w:r>
        <w:rPr>
          <w:rFonts w:ascii="仿宋" w:hAnsi="仿宋" w:eastAsia="仿宋"/>
          <w:color w:val="auto"/>
          <w:sz w:val="24"/>
          <w:highlight w:val="none"/>
        </w:rPr>
        <w:t>www.zcygov.cn</w:t>
      </w:r>
      <w:r>
        <w:rPr>
          <w:rFonts w:hint="eastAsia" w:ascii="仿宋" w:hAnsi="仿宋" w:eastAsia="仿宋"/>
          <w:color w:val="auto"/>
          <w:sz w:val="24"/>
          <w:highlight w:val="none"/>
        </w:rPr>
        <w:t>）”在线参与开标，并完成</w:t>
      </w:r>
      <w:r>
        <w:rPr>
          <w:rFonts w:ascii="仿宋" w:hAnsi="仿宋" w:eastAsia="仿宋"/>
          <w:color w:val="auto"/>
          <w:sz w:val="24"/>
          <w:highlight w:val="none"/>
        </w:rPr>
        <w:t xml:space="preserve"> CA </w:t>
      </w:r>
      <w:r>
        <w:rPr>
          <w:rFonts w:hint="eastAsia" w:ascii="仿宋" w:hAnsi="仿宋" w:eastAsia="仿宋"/>
          <w:color w:val="auto"/>
          <w:sz w:val="24"/>
          <w:highlight w:val="none"/>
        </w:rPr>
        <w:t>锁在线解密投标文件等相关工作。</w:t>
      </w:r>
    </w:p>
    <w:p w14:paraId="3FFF3FEB">
      <w:pPr>
        <w:spacing w:line="560" w:lineRule="exact"/>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十</w:t>
      </w:r>
      <w:r>
        <w:rPr>
          <w:rFonts w:hint="eastAsia" w:ascii="仿宋" w:hAnsi="仿宋" w:eastAsia="仿宋" w:cs="仿宋"/>
          <w:b/>
          <w:color w:val="auto"/>
          <w:sz w:val="24"/>
          <w:highlight w:val="none"/>
          <w:lang w:eastAsia="zh-CN"/>
        </w:rPr>
        <w:t>一</w:t>
      </w:r>
      <w:r>
        <w:rPr>
          <w:rFonts w:hint="eastAsia" w:ascii="仿宋" w:hAnsi="仿宋" w:eastAsia="仿宋" w:cs="仿宋"/>
          <w:b/>
          <w:color w:val="auto"/>
          <w:sz w:val="24"/>
          <w:highlight w:val="none"/>
        </w:rPr>
        <w:t>、其他事项：</w:t>
      </w:r>
    </w:p>
    <w:p w14:paraId="046B4414">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本项目为电子招投标项目，实行网上招投标，应按照本招标文件及政采云平台的要求编制、加密并要求投标人通过政采云系统在线投标响应，投标截止时间前须完成电子投标文件的上传，同时投标人须使用在线投标响应文件时所用的 CA 锁，投标人在使用系统进行投标的过程中遇到涉及平台使用的任何问题，可致电政采云平台技术支持热线咨询，联系方式：</w:t>
      </w:r>
      <w:r>
        <w:rPr>
          <w:rFonts w:hint="eastAsia" w:ascii="仿宋" w:hAnsi="仿宋" w:eastAsia="仿宋" w:cs="仿宋"/>
          <w:color w:val="auto"/>
          <w:sz w:val="24"/>
          <w:highlight w:val="none"/>
          <w:lang w:val="en-US" w:eastAsia="zh-CN"/>
        </w:rPr>
        <w:t>95763</w:t>
      </w:r>
      <w:r>
        <w:rPr>
          <w:rFonts w:hint="eastAsia" w:ascii="仿宋" w:hAnsi="仿宋" w:eastAsia="仿宋" w:cs="仿宋"/>
          <w:color w:val="auto"/>
          <w:sz w:val="24"/>
          <w:highlight w:val="none"/>
        </w:rPr>
        <w:t xml:space="preserve">。 </w:t>
      </w:r>
    </w:p>
    <w:p w14:paraId="553AE68A">
      <w:pPr>
        <w:keepNext w:val="0"/>
        <w:keepLines w:val="0"/>
        <w:pageBreakBefore w:val="0"/>
        <w:kinsoku/>
        <w:overflowPunct/>
        <w:topLinePunct w:val="0"/>
        <w:autoSpaceDE/>
        <w:autoSpaceDN/>
        <w:bidi w:val="0"/>
        <w:spacing w:line="5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本项目公告期限为自本公告发布之日起5个工作日。投标人如认为采购文件使自己的权益受到损害的，可以自获取采购文件之日或者采购文件公告期限届满之日（公告期限届满后获取采购文件的，以公告期限届满之日为准）起7个工作日内，以书面形式向</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、采购代理机构提出质疑，根据《中华人民共和国财政部令第 94 号-政府采购质疑和投诉办法》第十条第二款规定，投标人在法定质疑期内须一次性提出针对同一采购程序环节的质疑，否则采购代理机构有权拒绝第一次质疑以外其他所有质疑。质疑投标人对</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、采购代理机构的答复不满意或者</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 xml:space="preserve">、采购代理机构未在规定的时间内作出答复的，可以在答复期满后十五个工作日内向同级政府采购监督管理部门投诉。质疑函范本、投诉书范本请到浙江政府采购网下载专区下载。 </w:t>
      </w:r>
    </w:p>
    <w:p w14:paraId="1AE0BFAA">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3、潜在投标人已依法获取其可质疑的招标文件，可以对该文件提出质疑。未按照规定方式依法获取招标文件的，不得对招标文件提起质疑投诉。 </w:t>
      </w:r>
    </w:p>
    <w:p w14:paraId="6230D244">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4、答疑内容是招标文件的组成部分，并将在网上发布补充（答疑、澄清）文件，潜在投标人应自行关注网站公告，</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 xml:space="preserve">不再一一通知，投标人因自身贻误行为导致投标失效的，责任自负。  </w:t>
      </w:r>
    </w:p>
    <w:p w14:paraId="1010B2FE">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5、参与政府采购项目的注册投标人，需登录浙江政府采购云平台 （http://www.zcygov.cn）进行网上报名，尚未注册的投标人应当先在浙江政府采购云平台上申请注册，注册终审通过后再进行网上报名。 </w:t>
      </w:r>
    </w:p>
    <w:p w14:paraId="31DBC87E">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6、为有效破解当前中小微企业面临的“融资难、融资贵”困局，充分发挥好政府采购扶持小微企业发展的政策功能，本项目中标人可凭中标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  </w:t>
      </w:r>
    </w:p>
    <w:p w14:paraId="0AF12E02">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、本项目采购标的对应的中小企业划分标准所属行业为：</w:t>
      </w:r>
      <w:r>
        <w:rPr>
          <w:rFonts w:hint="eastAsia" w:ascii="仿宋" w:hAnsi="仿宋" w:eastAsia="仿宋" w:cs="仿宋"/>
          <w:color w:val="auto"/>
          <w:sz w:val="24"/>
          <w:highlight w:val="none"/>
          <w:lang w:val="en-US" w:eastAsia="zh-CN"/>
        </w:rPr>
        <w:t>建筑业</w:t>
      </w:r>
      <w:r>
        <w:rPr>
          <w:rFonts w:hint="eastAsia" w:ascii="仿宋" w:hAnsi="仿宋" w:eastAsia="仿宋" w:cs="仿宋"/>
          <w:color w:val="auto"/>
          <w:sz w:val="24"/>
          <w:highlight w:val="none"/>
        </w:rPr>
        <w:t>。</w:t>
      </w:r>
    </w:p>
    <w:p w14:paraId="0548D283">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本项目公告发布网站：浙江政府采购网：http://zfcg.czt.zj.gov.cn/ 、湖州市公共资源交易信息网：http://ggzyjy.huzhou.gov.cn/</w:t>
      </w:r>
    </w:p>
    <w:p w14:paraId="0A4B13C4">
      <w:pPr>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十</w:t>
      </w:r>
      <w:r>
        <w:rPr>
          <w:rFonts w:hint="eastAsia" w:ascii="仿宋" w:hAnsi="仿宋" w:eastAsia="仿宋" w:cs="仿宋"/>
          <w:b/>
          <w:color w:val="auto"/>
          <w:sz w:val="24"/>
          <w:highlight w:val="none"/>
          <w:lang w:val="en-US" w:eastAsia="zh-CN"/>
        </w:rPr>
        <w:t>二</w:t>
      </w:r>
      <w:r>
        <w:rPr>
          <w:rFonts w:hint="eastAsia" w:ascii="仿宋" w:hAnsi="仿宋" w:eastAsia="仿宋" w:cs="仿宋"/>
          <w:b/>
          <w:color w:val="auto"/>
          <w:sz w:val="24"/>
          <w:highlight w:val="none"/>
        </w:rPr>
        <w:t>、联系方式：</w:t>
      </w:r>
    </w:p>
    <w:p w14:paraId="06799EE9">
      <w:pPr>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1、采购代理机构名称：</w:t>
      </w:r>
      <w:r>
        <w:rPr>
          <w:rFonts w:hint="eastAsia" w:ascii="仿宋" w:hAnsi="仿宋" w:eastAsia="仿宋" w:cs="仿宋"/>
          <w:color w:val="auto"/>
          <w:sz w:val="24"/>
          <w:highlight w:val="none"/>
          <w:lang w:eastAsia="zh-CN"/>
        </w:rPr>
        <w:t>浙江新诚信工程咨询有限公司</w:t>
      </w:r>
    </w:p>
    <w:p w14:paraId="7A673E88">
      <w:pPr>
        <w:spacing w:line="560" w:lineRule="exact"/>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lang w:val="en-US" w:eastAsia="zh-CN"/>
        </w:rPr>
        <w:t>郭婷</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lang w:val="en-US" w:eastAsia="zh-CN"/>
        </w:rPr>
        <w:t>18768247439</w:t>
      </w:r>
    </w:p>
    <w:p w14:paraId="79D74E58">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质疑函接收人：</w:t>
      </w:r>
      <w:r>
        <w:rPr>
          <w:rFonts w:hint="eastAsia" w:ascii="仿宋" w:hAnsi="仿宋" w:eastAsia="仿宋" w:cs="仿宋"/>
          <w:color w:val="auto"/>
          <w:sz w:val="24"/>
          <w:highlight w:val="none"/>
          <w:lang w:val="en-US" w:eastAsia="zh-CN"/>
        </w:rPr>
        <w:t>赵丽娅</w:t>
      </w:r>
      <w:r>
        <w:rPr>
          <w:rFonts w:hint="eastAsia" w:ascii="仿宋" w:hAnsi="仿宋" w:eastAsia="仿宋" w:cs="仿宋"/>
          <w:color w:val="auto"/>
          <w:sz w:val="24"/>
          <w:highlight w:val="none"/>
        </w:rPr>
        <w:t xml:space="preserve">      联系电话：</w:t>
      </w:r>
      <w:r>
        <w:rPr>
          <w:rFonts w:hint="eastAsia" w:ascii="仿宋" w:hAnsi="仿宋" w:eastAsia="仿宋" w:cs="仿宋"/>
          <w:b w:val="0"/>
          <w:bCs w:val="0"/>
          <w:color w:val="auto"/>
          <w:sz w:val="24"/>
          <w:szCs w:val="24"/>
          <w:highlight w:val="none"/>
        </w:rPr>
        <w:t>0572-2051833</w:t>
      </w:r>
    </w:p>
    <w:p w14:paraId="2799184A">
      <w:pPr>
        <w:snapToGrid w:val="0"/>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地址：湖州市太湖路1155号中新商务大厦</w:t>
      </w:r>
      <w:r>
        <w:rPr>
          <w:rFonts w:hint="eastAsia" w:ascii="仿宋" w:hAnsi="仿宋" w:eastAsia="仿宋" w:cs="仿宋"/>
          <w:color w:val="auto"/>
          <w:sz w:val="24"/>
          <w:highlight w:val="none"/>
          <w:lang w:val="en-US" w:eastAsia="zh-CN"/>
        </w:rPr>
        <w:t>14楼1402室</w:t>
      </w:r>
    </w:p>
    <w:p w14:paraId="5A5EC26B">
      <w:pPr>
        <w:snapToGrid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2、采购人名称：</w:t>
      </w:r>
      <w:r>
        <w:rPr>
          <w:rFonts w:hint="eastAsia" w:ascii="仿宋" w:hAnsi="仿宋" w:eastAsia="仿宋" w:cs="仿宋"/>
          <w:color w:val="auto"/>
          <w:sz w:val="24"/>
          <w:highlight w:val="none"/>
          <w:lang w:eastAsia="zh-CN"/>
        </w:rPr>
        <w:t xml:space="preserve">湖州南太湖新区公用事业管理中心 </w:t>
      </w:r>
      <w:r>
        <w:rPr>
          <w:rFonts w:hint="eastAsia" w:ascii="仿宋" w:hAnsi="仿宋" w:eastAsia="仿宋" w:cs="仿宋"/>
          <w:color w:val="auto"/>
          <w:sz w:val="24"/>
          <w:highlight w:val="none"/>
        </w:rPr>
        <w:t xml:space="preserve">                  </w:t>
      </w:r>
    </w:p>
    <w:p w14:paraId="1F9FBC34">
      <w:pPr>
        <w:pStyle w:val="34"/>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联系人：</w:t>
      </w:r>
      <w:r>
        <w:rPr>
          <w:rFonts w:hint="eastAsia" w:ascii="仿宋" w:hAnsi="仿宋" w:eastAsia="仿宋" w:cs="仿宋"/>
          <w:color w:val="auto"/>
          <w:kern w:val="0"/>
          <w:sz w:val="24"/>
          <w:szCs w:val="24"/>
          <w:highlight w:val="none"/>
        </w:rPr>
        <w:t>朱</w:t>
      </w:r>
      <w:r>
        <w:rPr>
          <w:rFonts w:hint="eastAsia" w:ascii="仿宋" w:hAnsi="仿宋" w:eastAsia="仿宋" w:cs="仿宋"/>
          <w:color w:val="auto"/>
          <w:kern w:val="0"/>
          <w:sz w:val="24"/>
          <w:szCs w:val="24"/>
          <w:highlight w:val="none"/>
          <w:lang w:val="en-US" w:eastAsia="zh-CN"/>
        </w:rPr>
        <w:t>晓峰</w:t>
      </w:r>
      <w:r>
        <w:rPr>
          <w:rFonts w:hint="eastAsia" w:ascii="仿宋" w:hAnsi="仿宋" w:eastAsia="仿宋" w:cs="仿宋"/>
          <w:color w:val="auto"/>
          <w:kern w:val="2"/>
          <w:sz w:val="24"/>
          <w:szCs w:val="24"/>
          <w:highlight w:val="none"/>
          <w:lang w:val="en-US" w:eastAsia="zh-CN" w:bidi="ar-SA"/>
        </w:rPr>
        <w:t xml:space="preserve">            联系电话：0572-2110206</w:t>
      </w:r>
    </w:p>
    <w:p w14:paraId="01BEAD65">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3、政府采购行政监管及投诉受理部门：湖州市财政局政府采购监管处</w:t>
      </w:r>
    </w:p>
    <w:p w14:paraId="4E7B88CF">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联系人：程先生         联系电话：0572-2150216</w:t>
      </w:r>
    </w:p>
    <w:p w14:paraId="771E1492">
      <w:pPr>
        <w:snapToGrid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地址：湖州市龙王山路</w:t>
      </w:r>
      <w:r>
        <w:rPr>
          <w:rFonts w:ascii="仿宋" w:hAnsi="仿宋" w:eastAsia="仿宋" w:cs="仿宋"/>
          <w:color w:val="auto"/>
          <w:sz w:val="24"/>
          <w:highlight w:val="none"/>
        </w:rPr>
        <w:t>518</w:t>
      </w:r>
      <w:r>
        <w:rPr>
          <w:rFonts w:hint="eastAsia" w:ascii="仿宋" w:hAnsi="仿宋" w:eastAsia="仿宋" w:cs="仿宋"/>
          <w:color w:val="auto"/>
          <w:sz w:val="24"/>
          <w:highlight w:val="none"/>
        </w:rPr>
        <w:t>号</w:t>
      </w:r>
    </w:p>
    <w:p w14:paraId="0C2966AC">
      <w:pPr>
        <w:pStyle w:val="3"/>
        <w:keepNext w:val="0"/>
        <w:pageBreakBefore/>
        <w:spacing w:line="360" w:lineRule="auto"/>
        <w:rPr>
          <w:rFonts w:hint="eastAsia" w:ascii="仿宋" w:hAnsi="仿宋" w:eastAsia="仿宋" w:cs="仿宋"/>
          <w:color w:val="auto"/>
          <w:sz w:val="32"/>
          <w:highlight w:val="none"/>
        </w:rPr>
      </w:pPr>
      <w:r>
        <w:rPr>
          <w:rFonts w:hint="eastAsia" w:ascii="仿宋" w:hAnsi="仿宋" w:eastAsia="仿宋" w:cs="仿宋"/>
          <w:color w:val="auto"/>
          <w:sz w:val="32"/>
          <w:highlight w:val="none"/>
        </w:rPr>
        <w:t>第二章</w:t>
      </w:r>
      <w:r>
        <w:rPr>
          <w:rFonts w:hint="eastAsia" w:ascii="仿宋" w:hAnsi="仿宋" w:eastAsia="仿宋" w:cs="仿宋"/>
          <w:color w:val="auto"/>
          <w:sz w:val="32"/>
          <w:highlight w:val="none"/>
          <w:lang w:val="en-US" w:eastAsia="zh-CN"/>
        </w:rPr>
        <w:t xml:space="preserve">  </w:t>
      </w:r>
      <w:r>
        <w:rPr>
          <w:rFonts w:hint="eastAsia" w:ascii="仿宋" w:hAnsi="仿宋" w:eastAsia="仿宋" w:cs="仿宋"/>
          <w:color w:val="auto"/>
          <w:sz w:val="32"/>
          <w:highlight w:val="none"/>
        </w:rPr>
        <w:t>招标</w:t>
      </w:r>
      <w:bookmarkEnd w:id="3"/>
      <w:bookmarkEnd w:id="4"/>
      <w:bookmarkEnd w:id="5"/>
      <w:r>
        <w:rPr>
          <w:rFonts w:hint="eastAsia" w:ascii="仿宋" w:hAnsi="仿宋" w:eastAsia="仿宋" w:cs="仿宋"/>
          <w:color w:val="auto"/>
          <w:sz w:val="32"/>
          <w:highlight w:val="none"/>
        </w:rPr>
        <w:t>需求</w:t>
      </w:r>
    </w:p>
    <w:p w14:paraId="33DA080C">
      <w:pPr>
        <w:keepNext w:val="0"/>
        <w:keepLines w:val="0"/>
        <w:pageBreakBefore w:val="0"/>
        <w:widowControl/>
        <w:kinsoku/>
        <w:wordWrap/>
        <w:overflowPunct/>
        <w:topLinePunct w:val="0"/>
        <w:autoSpaceDE/>
        <w:bidi w:val="0"/>
        <w:adjustRightInd/>
        <w:spacing w:line="500" w:lineRule="exact"/>
        <w:jc w:val="left"/>
        <w:textAlignment w:val="auto"/>
        <w:rPr>
          <w:rFonts w:hint="eastAsia" w:ascii="仿宋" w:hAnsi="仿宋" w:eastAsia="仿宋" w:cs="仿宋"/>
          <w:b w:val="0"/>
          <w:bCs/>
          <w:color w:val="auto"/>
          <w:sz w:val="24"/>
          <w:highlight w:val="none"/>
          <w:lang w:val="en-US" w:eastAsia="zh-CN"/>
        </w:rPr>
      </w:pPr>
      <w:r>
        <w:rPr>
          <w:rFonts w:hint="eastAsia" w:ascii="仿宋" w:hAnsi="仿宋" w:eastAsia="仿宋" w:cs="仿宋"/>
          <w:b/>
          <w:color w:val="auto"/>
          <w:sz w:val="24"/>
          <w:highlight w:val="none"/>
        </w:rPr>
        <w:t>一、项目名称：</w:t>
      </w:r>
      <w:r>
        <w:rPr>
          <w:rFonts w:hint="eastAsia" w:ascii="仿宋" w:hAnsi="仿宋" w:eastAsia="仿宋" w:cs="仿宋"/>
          <w:b w:val="0"/>
          <w:bCs/>
          <w:color w:val="auto"/>
          <w:sz w:val="24"/>
          <w:highlight w:val="none"/>
          <w:lang w:val="en-US" w:eastAsia="zh-CN"/>
        </w:rPr>
        <w:t>湖州南太湖新区道路交通安全隐患综合治理服务项目（2025-2026年度）</w:t>
      </w:r>
    </w:p>
    <w:p w14:paraId="06FC5F4C">
      <w:pPr>
        <w:keepNext w:val="0"/>
        <w:keepLines w:val="0"/>
        <w:pageBreakBefore w:val="0"/>
        <w:numPr>
          <w:ilvl w:val="0"/>
          <w:numId w:val="0"/>
        </w:numPr>
        <w:kinsoku/>
        <w:wordWrap/>
        <w:overflowPunct/>
        <w:topLinePunct w:val="0"/>
        <w:autoSpaceDE/>
        <w:bidi w:val="0"/>
        <w:adjustRightInd/>
        <w:spacing w:line="500" w:lineRule="exact"/>
        <w:textAlignment w:val="auto"/>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二、</w:t>
      </w:r>
      <w:r>
        <w:rPr>
          <w:rFonts w:hint="eastAsia" w:ascii="仿宋" w:hAnsi="仿宋" w:eastAsia="仿宋" w:cs="仿宋"/>
          <w:b/>
          <w:color w:val="auto"/>
          <w:sz w:val="24"/>
          <w:highlight w:val="none"/>
        </w:rPr>
        <w:t>项目预算：</w:t>
      </w:r>
      <w:r>
        <w:rPr>
          <w:rFonts w:hint="eastAsia" w:ascii="仿宋" w:hAnsi="仿宋" w:eastAsia="仿宋" w:cs="仿宋"/>
          <w:b w:val="0"/>
          <w:bCs/>
          <w:color w:val="auto"/>
          <w:sz w:val="24"/>
          <w:highlight w:val="none"/>
          <w:lang w:val="en-US" w:eastAsia="zh-CN"/>
        </w:rPr>
        <w:t>760</w:t>
      </w:r>
      <w:r>
        <w:rPr>
          <w:rFonts w:hint="eastAsia" w:ascii="仿宋" w:hAnsi="仿宋" w:eastAsia="仿宋" w:cs="仿宋"/>
          <w:b w:val="0"/>
          <w:bCs/>
          <w:color w:val="auto"/>
          <w:sz w:val="24"/>
          <w:highlight w:val="none"/>
        </w:rPr>
        <w:t>万元</w:t>
      </w:r>
      <w:r>
        <w:rPr>
          <w:rFonts w:hint="eastAsia" w:ascii="仿宋" w:hAnsi="仿宋" w:eastAsia="仿宋" w:cs="仿宋"/>
          <w:b w:val="0"/>
          <w:bCs/>
          <w:color w:val="auto"/>
          <w:sz w:val="24"/>
          <w:highlight w:val="none"/>
          <w:lang w:eastAsia="zh-CN"/>
        </w:rPr>
        <w:t>（</w:t>
      </w:r>
      <w:r>
        <w:rPr>
          <w:rFonts w:hint="eastAsia" w:ascii="仿宋" w:hAnsi="仿宋" w:eastAsia="仿宋" w:cs="仿宋"/>
          <w:b w:val="0"/>
          <w:bCs/>
          <w:color w:val="auto"/>
          <w:sz w:val="24"/>
          <w:highlight w:val="none"/>
          <w:lang w:val="en-US" w:eastAsia="zh-CN"/>
        </w:rPr>
        <w:t xml:space="preserve">其中标项一：360万元  标项二：400万元 </w:t>
      </w:r>
      <w:r>
        <w:rPr>
          <w:rFonts w:hint="eastAsia" w:ascii="仿宋" w:hAnsi="仿宋" w:eastAsia="仿宋" w:cs="仿宋"/>
          <w:b w:val="0"/>
          <w:bCs/>
          <w:color w:val="auto"/>
          <w:sz w:val="24"/>
          <w:highlight w:val="none"/>
          <w:lang w:eastAsia="zh-CN"/>
        </w:rPr>
        <w:t>）</w:t>
      </w:r>
    </w:p>
    <w:p w14:paraId="7C3D9CA8">
      <w:pPr>
        <w:pStyle w:val="38"/>
        <w:keepNext w:val="0"/>
        <w:keepLines w:val="0"/>
        <w:pageBreakBefore w:val="0"/>
        <w:numPr>
          <w:ilvl w:val="6"/>
          <w:numId w:val="0"/>
        </w:numPr>
        <w:kinsoku/>
        <w:wordWrap/>
        <w:overflowPunct/>
        <w:topLinePunct w:val="0"/>
        <w:autoSpaceDE/>
        <w:bidi w:val="0"/>
        <w:adjustRightInd/>
        <w:spacing w:line="500" w:lineRule="exact"/>
        <w:ind w:leftChars="0"/>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三、工作任务及要求</w:t>
      </w:r>
    </w:p>
    <w:p w14:paraId="29897AF2">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color w:val="auto"/>
          <w:sz w:val="24"/>
          <w:highlight w:val="none"/>
          <w:u w:val="none"/>
          <w:lang w:val="en-US" w:eastAsia="zh-CN"/>
        </w:rPr>
      </w:pPr>
      <w:r>
        <w:rPr>
          <w:rFonts w:hint="eastAsia" w:ascii="仿宋" w:hAnsi="仿宋" w:eastAsia="仿宋" w:cs="仿宋"/>
          <w:b/>
          <w:color w:val="auto"/>
          <w:kern w:val="2"/>
          <w:sz w:val="24"/>
          <w:szCs w:val="24"/>
          <w:highlight w:val="none"/>
          <w:lang w:val="en-US" w:eastAsia="zh-CN" w:bidi="ar-SA"/>
        </w:rPr>
        <w:t xml:space="preserve">   标项一：</w:t>
      </w:r>
      <w:r>
        <w:rPr>
          <w:rFonts w:hint="eastAsia" w:ascii="仿宋" w:hAnsi="仿宋" w:eastAsia="仿宋" w:cs="仿宋"/>
          <w:color w:val="auto"/>
          <w:sz w:val="24"/>
          <w:highlight w:val="none"/>
          <w:u w:val="none"/>
          <w:lang w:val="en-US" w:eastAsia="zh-CN"/>
        </w:rPr>
        <w:t>湖州南太湖新区道路交通安全隐患综合治理服务项目（2025-2026年度）-（康山街道、凤凰街道、杨家埠街道区域）</w:t>
      </w:r>
    </w:p>
    <w:p w14:paraId="44EE2FEC">
      <w:pPr>
        <w:keepNext w:val="0"/>
        <w:keepLines w:val="0"/>
        <w:pageBreakBefore w:val="0"/>
        <w:kinsoku/>
        <w:wordWrap/>
        <w:overflowPunct/>
        <w:topLinePunct w:val="0"/>
        <w:autoSpaceDE/>
        <w:bidi w:val="0"/>
        <w:adjustRightInd/>
        <w:spacing w:line="500" w:lineRule="exact"/>
        <w:ind w:firstLine="241" w:firstLineChars="100"/>
        <w:jc w:val="left"/>
        <w:textAlignment w:val="auto"/>
        <w:rPr>
          <w:rFonts w:hint="default"/>
          <w:color w:val="auto"/>
          <w:highlight w:val="none"/>
          <w:lang w:val="en-US" w:eastAsia="zh-CN"/>
        </w:rPr>
      </w:pPr>
      <w:r>
        <w:rPr>
          <w:rFonts w:hint="eastAsia" w:ascii="仿宋" w:hAnsi="仿宋" w:eastAsia="仿宋" w:cs="仿宋"/>
          <w:b/>
          <w:bCs/>
          <w:color w:val="auto"/>
          <w:sz w:val="24"/>
          <w:highlight w:val="none"/>
          <w:u w:val="none"/>
          <w:lang w:val="en-US" w:eastAsia="zh-CN"/>
        </w:rPr>
        <w:t>标项二：</w:t>
      </w:r>
      <w:r>
        <w:rPr>
          <w:rFonts w:hint="eastAsia" w:ascii="仿宋" w:hAnsi="仿宋" w:eastAsia="仿宋" w:cs="仿宋"/>
          <w:color w:val="auto"/>
          <w:sz w:val="24"/>
          <w:highlight w:val="none"/>
          <w:u w:val="none"/>
          <w:lang w:val="en-US" w:eastAsia="zh-CN"/>
        </w:rPr>
        <w:t>湖州南太湖新区道路交通安全隐患综合治理服务项目（2025-2026年度）-（龙溪街道、滨湖街道区域）</w:t>
      </w:r>
    </w:p>
    <w:p w14:paraId="45AD03CF">
      <w:pPr>
        <w:keepNext w:val="0"/>
        <w:keepLines w:val="0"/>
        <w:pageBreakBefore w:val="0"/>
        <w:kinsoku/>
        <w:wordWrap/>
        <w:overflowPunct/>
        <w:topLinePunct w:val="0"/>
        <w:autoSpaceDE/>
        <w:bidi w:val="0"/>
        <w:adjustRightInd/>
        <w:spacing w:line="500" w:lineRule="exact"/>
        <w:textAlignment w:val="auto"/>
        <w:rPr>
          <w:rFonts w:hint="eastAsia" w:ascii="仿宋" w:hAnsi="仿宋" w:eastAsia="仿宋" w:cs="仿宋"/>
          <w:b/>
          <w:bCs/>
          <w:color w:val="auto"/>
          <w:sz w:val="24"/>
          <w:highlight w:val="none"/>
        </w:rPr>
      </w:pPr>
      <w:r>
        <w:rPr>
          <w:rFonts w:hint="eastAsia" w:ascii="仿宋" w:hAnsi="仿宋" w:eastAsia="仿宋" w:cs="仿宋"/>
          <w:b/>
          <w:color w:val="auto"/>
          <w:kern w:val="2"/>
          <w:sz w:val="24"/>
          <w:szCs w:val="24"/>
          <w:highlight w:val="none"/>
          <w:lang w:val="en-US" w:eastAsia="zh-CN" w:bidi="ar-SA"/>
        </w:rPr>
        <w:t xml:space="preserve">    </w:t>
      </w:r>
      <w:r>
        <w:rPr>
          <w:rFonts w:hint="eastAsia" w:ascii="仿宋" w:hAnsi="仿宋" w:eastAsia="仿宋" w:cs="仿宋"/>
          <w:b/>
          <w:color w:val="auto"/>
          <w:sz w:val="24"/>
          <w:highlight w:val="none"/>
          <w:lang w:val="en-US" w:eastAsia="zh-CN"/>
        </w:rPr>
        <w:t>(1)</w:t>
      </w:r>
      <w:r>
        <w:rPr>
          <w:rFonts w:hint="eastAsia" w:ascii="仿宋" w:hAnsi="仿宋" w:eastAsia="仿宋" w:cs="仿宋"/>
          <w:b/>
          <w:color w:val="auto"/>
          <w:sz w:val="24"/>
          <w:highlight w:val="none"/>
          <w:lang w:eastAsia="zh-CN"/>
        </w:rPr>
        <w:t>项目</w:t>
      </w:r>
      <w:r>
        <w:rPr>
          <w:rFonts w:hint="eastAsia" w:ascii="仿宋" w:hAnsi="仿宋" w:eastAsia="仿宋" w:cs="仿宋"/>
          <w:b/>
          <w:bCs/>
          <w:color w:val="auto"/>
          <w:sz w:val="24"/>
          <w:highlight w:val="none"/>
        </w:rPr>
        <w:t>质量：</w:t>
      </w:r>
      <w:r>
        <w:rPr>
          <w:rFonts w:hint="eastAsia" w:ascii="仿宋" w:hAnsi="仿宋" w:eastAsia="仿宋" w:cs="仿宋"/>
          <w:color w:val="auto"/>
          <w:sz w:val="24"/>
          <w:highlight w:val="none"/>
        </w:rPr>
        <w:t>应达到《道路交通标志和标线》(GB5768-2009)、《公路车辆智能监测记录系统通用技术条件》、《中华人民共和国道路交通安全法》、《道路交通信号灯安装规范》（GB14886-2006）、《道路交通信号灯》（GB14887-2003）、《公安交通指挥中系统建设技术规范》要求。</w:t>
      </w:r>
    </w:p>
    <w:p w14:paraId="15BB726A">
      <w:pPr>
        <w:keepNext w:val="0"/>
        <w:keepLines w:val="0"/>
        <w:pageBreakBefore w:val="0"/>
        <w:kinsoku/>
        <w:wordWrap/>
        <w:overflowPunct/>
        <w:topLinePunct w:val="0"/>
        <w:autoSpaceDE/>
        <w:bidi w:val="0"/>
        <w:adjustRightInd/>
        <w:spacing w:line="500" w:lineRule="exact"/>
        <w:ind w:firstLine="482" w:firstLineChars="200"/>
        <w:textAlignment w:val="auto"/>
        <w:rPr>
          <w:rFonts w:hint="eastAsia" w:ascii="仿宋" w:hAnsi="仿宋" w:eastAsia="仿宋" w:cs="仿宋"/>
          <w:b/>
          <w:bCs/>
          <w:color w:val="auto"/>
          <w:sz w:val="24"/>
          <w:highlight w:val="none"/>
        </w:rPr>
      </w:pPr>
      <w:r>
        <w:rPr>
          <w:rFonts w:hint="eastAsia" w:ascii="仿宋" w:hAnsi="仿宋" w:eastAsia="仿宋" w:cs="仿宋"/>
          <w:b/>
          <w:color w:val="auto"/>
          <w:sz w:val="24"/>
          <w:highlight w:val="none"/>
          <w:lang w:val="en-US" w:eastAsia="zh-CN"/>
        </w:rPr>
        <w:t>(2)</w:t>
      </w:r>
      <w:r>
        <w:rPr>
          <w:rFonts w:hint="eastAsia" w:ascii="仿宋" w:hAnsi="仿宋" w:eastAsia="仿宋" w:cs="仿宋"/>
          <w:b/>
          <w:bCs/>
          <w:color w:val="auto"/>
          <w:sz w:val="24"/>
          <w:highlight w:val="none"/>
        </w:rPr>
        <w:t>承包方式：</w:t>
      </w:r>
      <w:r>
        <w:rPr>
          <w:rFonts w:hint="eastAsia" w:ascii="仿宋" w:hAnsi="仿宋" w:eastAsia="仿宋" w:cs="仿宋"/>
          <w:color w:val="auto"/>
          <w:sz w:val="24"/>
          <w:highlight w:val="none"/>
        </w:rPr>
        <w:t>包工、包料、包机械</w:t>
      </w:r>
    </w:p>
    <w:p w14:paraId="6C43F817">
      <w:pPr>
        <w:keepNext w:val="0"/>
        <w:keepLines w:val="0"/>
        <w:pageBreakBefore w:val="0"/>
        <w:kinsoku/>
        <w:wordWrap/>
        <w:overflowPunct/>
        <w:topLinePunct w:val="0"/>
        <w:autoSpaceDE/>
        <w:bidi w:val="0"/>
        <w:adjustRightInd/>
        <w:spacing w:line="500" w:lineRule="exact"/>
        <w:ind w:firstLine="482" w:firstLineChars="200"/>
        <w:textAlignment w:val="auto"/>
        <w:rPr>
          <w:rFonts w:hint="eastAsia" w:ascii="仿宋" w:hAnsi="仿宋" w:eastAsia="仿宋" w:cs="仿宋"/>
          <w:b/>
          <w:bCs/>
          <w:color w:val="auto"/>
          <w:sz w:val="24"/>
          <w:highlight w:val="none"/>
        </w:rPr>
      </w:pPr>
      <w:r>
        <w:rPr>
          <w:rFonts w:hint="eastAsia" w:ascii="仿宋" w:hAnsi="仿宋" w:eastAsia="仿宋" w:cs="仿宋"/>
          <w:b/>
          <w:color w:val="auto"/>
          <w:sz w:val="24"/>
          <w:highlight w:val="none"/>
          <w:lang w:val="en-US" w:eastAsia="zh-CN"/>
        </w:rPr>
        <w:t>(3)</w:t>
      </w:r>
      <w:r>
        <w:rPr>
          <w:rFonts w:hint="eastAsia" w:ascii="仿宋" w:hAnsi="仿宋" w:eastAsia="仿宋" w:cs="仿宋"/>
          <w:b/>
          <w:bCs/>
          <w:color w:val="auto"/>
          <w:sz w:val="24"/>
          <w:highlight w:val="none"/>
        </w:rPr>
        <w:t>施工范围：</w:t>
      </w:r>
      <w:r>
        <w:rPr>
          <w:rFonts w:hint="eastAsia" w:ascii="仿宋" w:hAnsi="仿宋" w:eastAsia="仿宋" w:cs="仿宋"/>
          <w:color w:val="auto"/>
          <w:sz w:val="24"/>
          <w:szCs w:val="24"/>
          <w:highlight w:val="none"/>
        </w:rPr>
        <w:t>隐患点交通标志、标线、警示桩、隔离护栏、减速带、爆闪灯、信号灯、电子警察、反光道钉、照明等交通安全设施新增及应急维修，绿化修剪、不规范道口调整及封闭等交通工程。</w:t>
      </w:r>
    </w:p>
    <w:p w14:paraId="0707205C">
      <w:pPr>
        <w:keepNext w:val="0"/>
        <w:keepLines w:val="0"/>
        <w:pageBreakBefore w:val="0"/>
        <w:kinsoku/>
        <w:wordWrap/>
        <w:overflowPunct/>
        <w:topLinePunct w:val="0"/>
        <w:autoSpaceDE/>
        <w:bidi w:val="0"/>
        <w:adjustRightInd/>
        <w:spacing w:line="500" w:lineRule="exact"/>
        <w:ind w:firstLine="240" w:firstLineChars="100"/>
        <w:textAlignment w:val="auto"/>
        <w:rPr>
          <w:rFonts w:hint="eastAsia" w:ascii="仿宋" w:hAnsi="仿宋" w:eastAsia="仿宋" w:cs="仿宋"/>
          <w:b/>
          <w:bCs/>
          <w:color w:val="auto"/>
          <w:sz w:val="24"/>
          <w:highlight w:val="none"/>
          <w:lang w:eastAsia="zh-CN"/>
        </w:rPr>
      </w:pPr>
      <w:r>
        <w:rPr>
          <w:rFonts w:hint="eastAsia" w:ascii="仿宋" w:hAnsi="仿宋" w:eastAsia="仿宋" w:cs="仿宋"/>
          <w:color w:val="auto"/>
          <w:sz w:val="24"/>
          <w:highlight w:val="none"/>
        </w:rPr>
        <w:t>▲</w:t>
      </w:r>
      <w:r>
        <w:rPr>
          <w:rFonts w:hint="eastAsia" w:ascii="仿宋" w:hAnsi="仿宋" w:eastAsia="仿宋" w:cs="仿宋"/>
          <w:b/>
          <w:color w:val="auto"/>
          <w:sz w:val="24"/>
          <w:highlight w:val="none"/>
          <w:lang w:val="en-US" w:eastAsia="zh-CN"/>
        </w:rPr>
        <w:t>(4)</w:t>
      </w:r>
      <w:r>
        <w:rPr>
          <w:rFonts w:hint="eastAsia" w:ascii="仿宋" w:hAnsi="仿宋" w:eastAsia="仿宋" w:cs="仿宋"/>
          <w:b/>
          <w:bCs/>
          <w:color w:val="auto"/>
          <w:sz w:val="24"/>
          <w:highlight w:val="none"/>
        </w:rPr>
        <w:t>项目要求</w:t>
      </w:r>
      <w:r>
        <w:rPr>
          <w:rFonts w:hint="eastAsia" w:ascii="仿宋" w:hAnsi="仿宋" w:eastAsia="仿宋" w:cs="仿宋"/>
          <w:b/>
          <w:bCs/>
          <w:color w:val="auto"/>
          <w:sz w:val="24"/>
          <w:highlight w:val="none"/>
          <w:lang w:eastAsia="zh-CN"/>
        </w:rPr>
        <w:t>：</w:t>
      </w:r>
    </w:p>
    <w:p w14:paraId="32281020">
      <w:pPr>
        <w:keepNext w:val="0"/>
        <w:keepLines w:val="0"/>
        <w:pageBreakBefore w:val="0"/>
        <w:kinsoku/>
        <w:wordWrap/>
        <w:overflowPunct/>
        <w:topLinePunct w:val="0"/>
        <w:autoSpaceDE/>
        <w:bidi w:val="0"/>
        <w:adjustRightInd/>
        <w:spacing w:line="500" w:lineRule="exact"/>
        <w:ind w:firstLine="482" w:firstLineChars="200"/>
        <w:textAlignment w:val="auto"/>
        <w:rPr>
          <w:rFonts w:hint="eastAsia" w:ascii="仿宋" w:hAnsi="仿宋" w:eastAsia="仿宋" w:cs="仿宋"/>
          <w:color w:val="auto"/>
          <w:highlight w:val="none"/>
        </w:rPr>
      </w:pPr>
      <w:r>
        <w:rPr>
          <w:rFonts w:hint="eastAsia" w:ascii="仿宋" w:hAnsi="仿宋" w:eastAsia="仿宋" w:cs="仿宋"/>
          <w:b/>
          <w:bCs/>
          <w:color w:val="auto"/>
          <w:sz w:val="24"/>
          <w:highlight w:val="none"/>
        </w:rPr>
        <w:t>1、</w:t>
      </w:r>
      <w:r>
        <w:rPr>
          <w:rFonts w:hint="eastAsia" w:ascii="仿宋" w:hAnsi="仿宋" w:eastAsia="仿宋" w:cs="仿宋"/>
          <w:color w:val="auto"/>
          <w:sz w:val="24"/>
          <w:highlight w:val="none"/>
        </w:rPr>
        <w:t>扬尘处理：投标人须根据湖交【2018】179号文件《湖州市公路水运建设工程施工扬尘污染防治暂行规定》的要求开展工作。</w:t>
      </w:r>
    </w:p>
    <w:p w14:paraId="6F8DF23E">
      <w:pPr>
        <w:keepNext w:val="0"/>
        <w:keepLines w:val="0"/>
        <w:pageBreakBefore w:val="0"/>
        <w:kinsoku/>
        <w:wordWrap/>
        <w:overflowPunct/>
        <w:topLinePunct w:val="0"/>
        <w:autoSpaceDE/>
        <w:bidi w:val="0"/>
        <w:adjustRightInd/>
        <w:spacing w:line="500" w:lineRule="exact"/>
        <w:ind w:firstLine="482" w:firstLineChars="200"/>
        <w:jc w:val="left"/>
        <w:textAlignment w:val="auto"/>
        <w:rPr>
          <w:rFonts w:hint="eastAsia" w:ascii="仿宋" w:hAnsi="仿宋" w:eastAsia="仿宋" w:cs="仿宋"/>
          <w:b/>
          <w:color w:val="auto"/>
          <w:sz w:val="28"/>
          <w:highlight w:val="none"/>
        </w:rPr>
      </w:pPr>
      <w:r>
        <w:rPr>
          <w:rFonts w:hint="eastAsia" w:ascii="仿宋" w:hAnsi="仿宋" w:eastAsia="仿宋" w:cs="仿宋"/>
          <w:b/>
          <w:bCs/>
          <w:color w:val="auto"/>
          <w:sz w:val="24"/>
          <w:highlight w:val="none"/>
        </w:rPr>
        <w:t>2、</w:t>
      </w:r>
      <w:r>
        <w:rPr>
          <w:rFonts w:hint="eastAsia" w:ascii="仿宋" w:hAnsi="仿宋" w:eastAsia="仿宋" w:cs="仿宋"/>
          <w:b/>
          <w:color w:val="auto"/>
          <w:sz w:val="24"/>
          <w:szCs w:val="20"/>
          <w:highlight w:val="none"/>
        </w:rPr>
        <w:t>设计依据</w:t>
      </w:r>
    </w:p>
    <w:p w14:paraId="337E53CD">
      <w:pPr>
        <w:pStyle w:val="7"/>
        <w:keepNext w:val="0"/>
        <w:keepLines w:val="0"/>
        <w:pageBreakBefore w:val="0"/>
        <w:kinsoku/>
        <w:wordWrap/>
        <w:overflowPunct/>
        <w:topLinePunct w:val="0"/>
        <w:autoSpaceDE/>
        <w:bidi w:val="0"/>
        <w:adjustRightIn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 《中华人民共和国道路交通安全法》</w:t>
      </w:r>
    </w:p>
    <w:p w14:paraId="066E6BBB">
      <w:pPr>
        <w:pStyle w:val="7"/>
        <w:keepNext w:val="0"/>
        <w:keepLines w:val="0"/>
        <w:pageBreakBefore w:val="0"/>
        <w:kinsoku/>
        <w:wordWrap/>
        <w:overflowPunct/>
        <w:topLinePunct w:val="0"/>
        <w:autoSpaceDE/>
        <w:bidi w:val="0"/>
        <w:adjustRightIn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 《中华人民共和国道路交通安全法实施条例》</w:t>
      </w:r>
    </w:p>
    <w:p w14:paraId="420B1DB9">
      <w:pPr>
        <w:pStyle w:val="7"/>
        <w:keepNext w:val="0"/>
        <w:keepLines w:val="0"/>
        <w:pageBreakBefore w:val="0"/>
        <w:kinsoku/>
        <w:wordWrap/>
        <w:overflowPunct/>
        <w:topLinePunct w:val="0"/>
        <w:autoSpaceDE/>
        <w:bidi w:val="0"/>
        <w:adjustRightIn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 《城市道路工程设计规范》（CJJ37-2012)</w:t>
      </w:r>
    </w:p>
    <w:p w14:paraId="6CB98D95">
      <w:pPr>
        <w:pStyle w:val="7"/>
        <w:keepNext w:val="0"/>
        <w:keepLines w:val="0"/>
        <w:pageBreakBefore w:val="0"/>
        <w:kinsoku/>
        <w:wordWrap/>
        <w:overflowPunct/>
        <w:topLinePunct w:val="0"/>
        <w:autoSpaceDE/>
        <w:bidi w:val="0"/>
        <w:adjustRightIn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 《城市道路交通规划设计规范》（GB50220—95）；</w:t>
      </w:r>
    </w:p>
    <w:p w14:paraId="1AA3748D">
      <w:pPr>
        <w:pStyle w:val="7"/>
        <w:keepNext w:val="0"/>
        <w:keepLines w:val="0"/>
        <w:pageBreakBefore w:val="0"/>
        <w:kinsoku/>
        <w:wordWrap/>
        <w:overflowPunct/>
        <w:topLinePunct w:val="0"/>
        <w:autoSpaceDE/>
        <w:bidi w:val="0"/>
        <w:adjustRightIn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 《城市道路交通设施设计规范》（GB50688-2011）</w:t>
      </w:r>
    </w:p>
    <w:p w14:paraId="5A7CF7FA">
      <w:pPr>
        <w:pStyle w:val="7"/>
        <w:keepNext w:val="0"/>
        <w:keepLines w:val="0"/>
        <w:pageBreakBefore w:val="0"/>
        <w:kinsoku/>
        <w:wordWrap/>
        <w:overflowPunct/>
        <w:topLinePunct w:val="0"/>
        <w:autoSpaceDE/>
        <w:bidi w:val="0"/>
        <w:adjustRightIn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 《道路交通标志板及支撑件》（GBT23827-2009）</w:t>
      </w:r>
    </w:p>
    <w:p w14:paraId="0E3F56CA">
      <w:pPr>
        <w:pStyle w:val="7"/>
        <w:keepNext w:val="0"/>
        <w:keepLines w:val="0"/>
        <w:pageBreakBefore w:val="0"/>
        <w:kinsoku/>
        <w:wordWrap/>
        <w:overflowPunct/>
        <w:topLinePunct w:val="0"/>
        <w:autoSpaceDE/>
        <w:bidi w:val="0"/>
        <w:adjustRightIn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 《道路交通标线质量要求和检测方法》（GB／T16311-2009）</w:t>
      </w:r>
    </w:p>
    <w:p w14:paraId="2D138484">
      <w:pPr>
        <w:pStyle w:val="7"/>
        <w:keepNext w:val="0"/>
        <w:keepLines w:val="0"/>
        <w:pageBreakBefore w:val="0"/>
        <w:kinsoku/>
        <w:wordWrap/>
        <w:overflowPunct/>
        <w:topLinePunct w:val="0"/>
        <w:autoSpaceDE/>
        <w:bidi w:val="0"/>
        <w:adjustRightIn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 《新划路面标线初始逆反射亮度系数及测试方法》（GB／T21383-2008）</w:t>
      </w:r>
    </w:p>
    <w:p w14:paraId="09BB8FBC">
      <w:pPr>
        <w:pStyle w:val="7"/>
        <w:keepNext w:val="0"/>
        <w:keepLines w:val="0"/>
        <w:pageBreakBefore w:val="0"/>
        <w:kinsoku/>
        <w:wordWrap/>
        <w:overflowPunct/>
        <w:topLinePunct w:val="0"/>
        <w:autoSpaceDE/>
        <w:bidi w:val="0"/>
        <w:adjustRightIn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9. 《道路交通标志和标线》（GB5768—2009）</w:t>
      </w:r>
    </w:p>
    <w:p w14:paraId="7AFE0260">
      <w:pPr>
        <w:pStyle w:val="7"/>
        <w:keepNext w:val="0"/>
        <w:keepLines w:val="0"/>
        <w:pageBreakBefore w:val="0"/>
        <w:kinsoku/>
        <w:wordWrap/>
        <w:overflowPunct/>
        <w:topLinePunct w:val="0"/>
        <w:autoSpaceDE/>
        <w:bidi w:val="0"/>
        <w:adjustRightIn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10. 《城市道路平面交叉口规划与设计规范》（DB33/1056-2008）</w:t>
      </w:r>
    </w:p>
    <w:p w14:paraId="62FB75CD">
      <w:pPr>
        <w:pStyle w:val="7"/>
        <w:keepNext w:val="0"/>
        <w:keepLines w:val="0"/>
        <w:pageBreakBefore w:val="0"/>
        <w:kinsoku/>
        <w:wordWrap/>
        <w:overflowPunct/>
        <w:topLinePunct w:val="0"/>
        <w:autoSpaceDE/>
        <w:bidi w:val="0"/>
        <w:adjustRightIn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11. 《城市道路机动车道宽度设计规范》（DB33/1057-2008）</w:t>
      </w:r>
    </w:p>
    <w:p w14:paraId="518D104E">
      <w:pPr>
        <w:pStyle w:val="7"/>
        <w:keepNext w:val="0"/>
        <w:keepLines w:val="0"/>
        <w:pageBreakBefore w:val="0"/>
        <w:kinsoku/>
        <w:wordWrap/>
        <w:overflowPunct/>
        <w:topLinePunct w:val="0"/>
        <w:autoSpaceDE/>
        <w:bidi w:val="0"/>
        <w:adjustRightIn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12. 公安部、浙江省公安厅其他相关规范性文件</w:t>
      </w:r>
    </w:p>
    <w:p w14:paraId="0B528122">
      <w:pPr>
        <w:pStyle w:val="7"/>
        <w:keepNext w:val="0"/>
        <w:keepLines w:val="0"/>
        <w:pageBreakBefore w:val="0"/>
        <w:kinsoku/>
        <w:wordWrap/>
        <w:overflowPunct/>
        <w:topLinePunct w:val="0"/>
        <w:autoSpaceDE/>
        <w:bidi w:val="0"/>
        <w:adjustRightIn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上述技术标准和规范如与国家、国际最新标准相抵触或未能罗列完全时，应以国家、国际最新标准为依据。</w:t>
      </w:r>
    </w:p>
    <w:p w14:paraId="7F5BCC58">
      <w:pPr>
        <w:pStyle w:val="7"/>
        <w:keepNext w:val="0"/>
        <w:keepLines w:val="0"/>
        <w:pageBreakBefore w:val="0"/>
        <w:kinsoku/>
        <w:wordWrap/>
        <w:overflowPunct/>
        <w:topLinePunct w:val="0"/>
        <w:autoSpaceDE/>
        <w:bidi w:val="0"/>
        <w:adjustRightInd/>
        <w:spacing w:line="500" w:lineRule="exact"/>
        <w:ind w:firstLine="482" w:firstLineChars="200"/>
        <w:textAlignment w:val="auto"/>
        <w:rPr>
          <w:rFonts w:hint="eastAsia" w:ascii="仿宋" w:hAnsi="仿宋" w:eastAsia="仿宋" w:cs="仿宋"/>
          <w:b/>
          <w:bCs/>
          <w:color w:val="auto"/>
          <w:sz w:val="24"/>
          <w:szCs w:val="21"/>
          <w:highlight w:val="none"/>
        </w:rPr>
      </w:pPr>
      <w:r>
        <w:rPr>
          <w:rFonts w:hint="eastAsia" w:ascii="仿宋" w:hAnsi="仿宋" w:eastAsia="仿宋" w:cs="仿宋"/>
          <w:b/>
          <w:bCs/>
          <w:color w:val="auto"/>
          <w:sz w:val="24"/>
          <w:szCs w:val="21"/>
          <w:highlight w:val="none"/>
        </w:rPr>
        <w:t>3、技术要求</w:t>
      </w:r>
    </w:p>
    <w:p w14:paraId="7CFD64DE">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一）、交通标线的技术要求</w:t>
      </w:r>
    </w:p>
    <w:p w14:paraId="70A540EB">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材料要求：</w:t>
      </w:r>
    </w:p>
    <w:p w14:paraId="104F683D">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（1）涂料密度: 1.8～2.3 g/cm3；</w:t>
      </w:r>
    </w:p>
    <w:p w14:paraId="0A0FABDD">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（2）涂膜外观：涂膜冷凝后应无皱纹、斑点、起泡、裂纹、脱落及表面无发粘现象，涂膜的颜色和外观与标准板差别不大；</w:t>
      </w:r>
    </w:p>
    <w:p w14:paraId="54E9B050">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（3）色度性能：按JT/T180-1995 标准6.2.6 规定的方法测试；</w:t>
      </w:r>
    </w:p>
    <w:p w14:paraId="72CDA49A">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（4）抗压强度：MPa≥12；</w:t>
      </w:r>
    </w:p>
    <w:p w14:paraId="559B7C8F">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（5）耐磨性：（200r/1000g 后减重）：mg≤50；</w:t>
      </w:r>
    </w:p>
    <w:p w14:paraId="0388E433">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（6）逆反射系数：mcd.1×-1.m -2, 白色≥150,黄色≥100；</w:t>
      </w:r>
    </w:p>
    <w:p w14:paraId="16FB2114">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（7）耐候性：经12 月试验，涂膜的起皱、斑点、裂纹、脱落及变色等都不大于标准样板；</w:t>
      </w:r>
    </w:p>
    <w:p w14:paraId="179BAAAC">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（8）涂料用下涂剂颜色应无透明或琥珀色流体；固体含量，30%±5；涂布量，g/m2 150～</w:t>
      </w:r>
    </w:p>
    <w:p w14:paraId="7B566DF0">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200；干燥时间，min≤5；</w:t>
      </w:r>
    </w:p>
    <w:p w14:paraId="32C441FE">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（9）玻璃珠的技术条件：密度（在23º±2º的二甲苯中）g/m3 2.4～2.6；外观无色透明球状，扩大10～50 倍观察时，熔融团、片状、尖状物、有气泡等瑕庇不应超过总量的20%；</w:t>
      </w:r>
    </w:p>
    <w:p w14:paraId="525C2F90">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玻璃珠的折射率（20℃浸渍法≥1.5）；</w:t>
      </w:r>
    </w:p>
    <w:p w14:paraId="49904F56">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（10）玻璃珠含量：涂料中含20%～30%的玻璃珠,施工时撒布玻璃珠于热熔涂料上。</w:t>
      </w:r>
    </w:p>
    <w:p w14:paraId="7FD6683D">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（11）根据GB5768-2009 规定，按道路的情况及车速要求，制作道路标线；</w:t>
      </w:r>
    </w:p>
    <w:p w14:paraId="5E4A84CE">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（12）制作道路标线使用热熔反光涂料；</w:t>
      </w:r>
    </w:p>
    <w:p w14:paraId="2D01A61E">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（13）制作标线的热熔涂料、底漆、玻璃珠要经交通部检测机构检测合格才能使用；</w:t>
      </w:r>
    </w:p>
    <w:p w14:paraId="3AE6000F">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（14）人行横道线、人行横道预告标识线、导向箭头、非机动车路面标识、减速让行标线、停车让行标线、路面文字、导流线等制作符合GB5768-2009 规定；</w:t>
      </w:r>
    </w:p>
    <w:p w14:paraId="2BD2C245">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（15）在施划车道线、人行横线及其箭头、导流线等等，如有旧标线，需高压水枪清洗之后再施划新标线；</w:t>
      </w:r>
    </w:p>
    <w:p w14:paraId="06BFFDEE">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（16）标线厚度不少于1.8mm，亮度因素≥0.27，双实线为黄色，车道线为白色.交通标</w:t>
      </w:r>
    </w:p>
    <w:p w14:paraId="3BB7B48F">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志、标线的设置方法及规格参照现行《道路交通标志和标线》GB5768 以及具体设计方案，详见设计图。</w:t>
      </w:r>
    </w:p>
    <w:p w14:paraId="54DC1961">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二）、交通标志的技术要求</w:t>
      </w:r>
    </w:p>
    <w:p w14:paraId="77F4FC95">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1．材料要求：</w:t>
      </w:r>
    </w:p>
    <w:p w14:paraId="0F30A554">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（1）标志立柱和横梁：凡钢管外径152mm 以下（含152mm）的立柱和横梁，采用普通碳素结构钢（A3）焊接钢管，应符合GB/T 700-2006“碳素结构钢标准”的要求。凡钢管外径在152mm 以上的立柱和横梁，采用一般常用热轧无缝钢管，并符合GB16727-2007“叠合板用预应力混凝土底板”、GB8163-2008“输送流体用无缝钢管”的规定。标志立杆柱帽，采用普通碳素钢结构钢板，板厚3mm；</w:t>
      </w:r>
    </w:p>
    <w:p w14:paraId="3FE71494">
      <w:pPr>
        <w:keepNext w:val="0"/>
        <w:keepLines w:val="0"/>
        <w:pageBreakBefore w:val="0"/>
        <w:numPr>
          <w:ilvl w:val="0"/>
          <w:numId w:val="4"/>
        </w:numPr>
        <w:kinsoku/>
        <w:wordWrap/>
        <w:overflowPunct/>
        <w:topLinePunct w:val="0"/>
        <w:autoSpaceDE/>
        <w:bidi w:val="0"/>
        <w:adjustRightInd/>
        <w:spacing w:line="500" w:lineRule="exact"/>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标志板、滑动横梁：采用符合GB5768-2009 标准的铝合金板材，并符合GB3194-82“铝及铝合金热扎板材的尺寸及允许偏差”，GB3193-1982“铝及铝合金热轧板”的规定；</w:t>
      </w:r>
    </w:p>
    <w:p w14:paraId="5042F267">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（3）高强螺栓，高强连接螺栓（包括相应螺母、垫圈）应采用40B 式45 号钢，并符合</w:t>
      </w:r>
    </w:p>
    <w:p w14:paraId="578D7635">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GB1231-2006 的规定。地脚螺栓（包括相应螺母、垫圈）应采用普通碳素钢机构钢（A3）;</w:t>
      </w:r>
    </w:p>
    <w:p w14:paraId="4B581747">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（4）水泥混凝土基础材料混凝土强度应不少于25npa。并符合现行《公路钢筋混凝土及预应力混凝土桥涵设计规范》的有关规定；</w:t>
      </w:r>
    </w:p>
    <w:p w14:paraId="3B3793F4">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（5）钢筋采用热扎结构等级圆钢筋，I 级3 号钢（位于桥梁式挡土上的的标志基础钢筋采用II 级）并符合现行《公路钢筋混凝土及预应力混凝土设计规范》规定；</w:t>
      </w:r>
    </w:p>
    <w:p w14:paraId="0E660141">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（6）标志反光膜上膜采用IV 类反光膜、底膜采用III 类反光膜，其回归反射光度值（最小值）反光膜颜色的角关座标和标志色泽耐用期应满足交通部JT/T297-2004《公路交通标志板技术条件》的要求，外观质量、光度性能、色度性能、抗冲击性、耐弯曲性、附着性等应满足GB/T18833-2012《道路交通反光膜》的要求。</w:t>
      </w:r>
    </w:p>
    <w:p w14:paraId="4692CBB5">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（7）标志板由铝合金板制作，其厚度要求≥2.5mm。</w:t>
      </w:r>
    </w:p>
    <w:p w14:paraId="4A178449">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2．标志牌制作：</w:t>
      </w:r>
    </w:p>
    <w:p w14:paraId="72C9248F">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交通标志的形状图案、颜色应严格按照GB5768-2009《道路交通标志和标线》标准，或设计图的规定执行。为了确保指路标准的确认性，指路标志汉字必须采用等粗线，字体，阿拉伯数字和英文文字应符合GB5768-2009 的规定，不允许采用其他字体；</w:t>
      </w:r>
    </w:p>
    <w:p w14:paraId="0A11BD74">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（2）标志板与滑动槽钢，卷边加固件连接，在保证连接强度和标志板面平整，不影响贴反光膜的前提下，可采用铆接式点焊；</w:t>
      </w:r>
    </w:p>
    <w:p w14:paraId="1AF50FFE">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（3）指示标牌表面无明显皱纹、凹槽或弯形，每平方米的平整度公差小于1.0mm；</w:t>
      </w:r>
    </w:p>
    <w:p w14:paraId="5CD6FC32">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（4）标牌面无裂纹、无明显划痕、无损伤、无颜色不均和污染等现象；应按规范规定进行热浸镀锌处理, 镀锌量为500g/m2。螺栓、螺母、垫圈进行热浸镀锌,必须清理螺纹或作离心处理；</w:t>
      </w:r>
    </w:p>
    <w:p w14:paraId="6CDCA6E4">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（5）标志板与立杆采用铝槽接驳；</w:t>
      </w:r>
    </w:p>
    <w:p w14:paraId="294E39AC">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（6）大型标志使用铝合金板材最大尺寸，最多不超过2 块铝合金板拼接，以减少接缝，保持版面的平整度；大型标志尺寸以下标志不允许存在任何铝合金板拼接；</w:t>
      </w:r>
    </w:p>
    <w:p w14:paraId="4D5A4CA0">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（7）标志立柱和横梁不允许存在任何接驳；</w:t>
      </w:r>
    </w:p>
    <w:p w14:paraId="465ED60D">
      <w:pPr>
        <w:pStyle w:val="7"/>
        <w:keepNext w:val="0"/>
        <w:keepLines w:val="0"/>
        <w:pageBreakBefore w:val="0"/>
        <w:kinsoku/>
        <w:wordWrap/>
        <w:overflowPunct/>
        <w:topLinePunct w:val="0"/>
        <w:autoSpaceDE/>
        <w:bidi w:val="0"/>
        <w:adjustRightInd/>
        <w:spacing w:line="500" w:lineRule="exact"/>
        <w:ind w:firstLine="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（8）中标单位先定样板，由甲方确定后方能施工。</w:t>
      </w:r>
    </w:p>
    <w:p w14:paraId="6E6AB0A8">
      <w:pPr>
        <w:keepNext w:val="0"/>
        <w:keepLines w:val="0"/>
        <w:pageBreakBefore w:val="0"/>
        <w:kinsoku/>
        <w:wordWrap/>
        <w:overflowPunct/>
        <w:topLinePunct w:val="0"/>
        <w:autoSpaceDE/>
        <w:bidi w:val="0"/>
        <w:adjustRightInd/>
        <w:spacing w:line="500" w:lineRule="exact"/>
        <w:textAlignment w:val="auto"/>
        <w:rPr>
          <w:rFonts w:hint="eastAsia" w:ascii="仿宋" w:hAnsi="仿宋" w:eastAsia="仿宋" w:cs="仿宋"/>
          <w:b/>
          <w:bCs/>
          <w:color w:val="auto"/>
          <w:sz w:val="24"/>
          <w:highlight w:val="none"/>
        </w:rPr>
      </w:pPr>
      <w:r>
        <w:rPr>
          <w:rFonts w:hint="eastAsia" w:ascii="仿宋" w:hAnsi="仿宋" w:eastAsia="仿宋" w:cs="仿宋"/>
          <w:b/>
          <w:color w:val="auto"/>
          <w:sz w:val="24"/>
          <w:highlight w:val="none"/>
          <w:lang w:val="en-US" w:eastAsia="zh-CN"/>
        </w:rPr>
        <w:t>(5)</w:t>
      </w:r>
      <w:r>
        <w:rPr>
          <w:rFonts w:hint="eastAsia" w:ascii="仿宋" w:hAnsi="仿宋" w:eastAsia="仿宋" w:cs="仿宋"/>
          <w:b/>
          <w:color w:val="auto"/>
          <w:sz w:val="24"/>
          <w:highlight w:val="none"/>
          <w:lang w:eastAsia="zh-CN"/>
        </w:rPr>
        <w:t>项目</w:t>
      </w:r>
      <w:r>
        <w:rPr>
          <w:rFonts w:hint="eastAsia" w:ascii="仿宋" w:hAnsi="仿宋" w:eastAsia="仿宋" w:cs="仿宋"/>
          <w:b/>
          <w:bCs/>
          <w:color w:val="auto"/>
          <w:sz w:val="24"/>
          <w:highlight w:val="none"/>
        </w:rPr>
        <w:t>建设标准</w:t>
      </w:r>
    </w:p>
    <w:p w14:paraId="2BA88727">
      <w:pPr>
        <w:pStyle w:val="7"/>
        <w:keepNext w:val="0"/>
        <w:keepLines w:val="0"/>
        <w:pageBreakBefore w:val="0"/>
        <w:kinsoku/>
        <w:wordWrap/>
        <w:overflowPunct/>
        <w:topLinePunct w:val="0"/>
        <w:autoSpaceDE/>
        <w:bidi w:val="0"/>
        <w:adjustRightInd/>
        <w:spacing w:line="500" w:lineRule="exact"/>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本章所列的技术规范为完成本招标项目所需的最低技术标准规范，投标人可选择高于本章所列技术标准规范要求的企业技术标准，但投标人需提供所采用的企业技术标准高于本章所列技术标准规范的相关证明材料。</w:t>
      </w:r>
    </w:p>
    <w:p w14:paraId="29BA6602">
      <w:pPr>
        <w:pStyle w:val="7"/>
        <w:keepNext w:val="0"/>
        <w:keepLines w:val="0"/>
        <w:pageBreakBefore w:val="0"/>
        <w:kinsoku/>
        <w:wordWrap/>
        <w:overflowPunct/>
        <w:topLinePunct w:val="0"/>
        <w:autoSpaceDE/>
        <w:bidi w:val="0"/>
        <w:adjustRightInd/>
        <w:spacing w:line="500" w:lineRule="exact"/>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2、本项目所用的规范与合同条件、图纸的规定和要求是一致的，应互相对照阅读和使用。如果规范与图纸中有明显未提到的任何细节或在涉及到规范中任何条款的叙述中没有明显的规定，都应认为指的是采用质量管理单位可以接受的建筑工程中的习惯做法。规范执行中，某些条文如有不明确的，其解释权应属于质量管理单位，但须符合合同条件中的相应规定。各分项分部工程均应严格按图纸的规定和要求，或质量管理单位的指令进行施工，对图纸的任何变更，均应报质量管理单位批准。</w:t>
      </w:r>
    </w:p>
    <w:p w14:paraId="7D941599">
      <w:pPr>
        <w:pStyle w:val="7"/>
        <w:keepNext w:val="0"/>
        <w:keepLines w:val="0"/>
        <w:pageBreakBefore w:val="0"/>
        <w:kinsoku/>
        <w:wordWrap/>
        <w:overflowPunct/>
        <w:topLinePunct w:val="0"/>
        <w:autoSpaceDE/>
        <w:bidi w:val="0"/>
        <w:adjustRightInd/>
        <w:spacing w:line="500" w:lineRule="exact"/>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本项目同时执行国家及本省、市现行施工及验收规范和质量评定标准，以及有关条例、实施办法等。</w:t>
      </w:r>
    </w:p>
    <w:p w14:paraId="460B12AE">
      <w:pPr>
        <w:pStyle w:val="7"/>
        <w:keepNext w:val="0"/>
        <w:keepLines w:val="0"/>
        <w:pageBreakBefore w:val="0"/>
        <w:kinsoku/>
        <w:wordWrap/>
        <w:overflowPunct/>
        <w:topLinePunct w:val="0"/>
        <w:autoSpaceDE/>
        <w:bidi w:val="0"/>
        <w:adjustRightInd/>
        <w:spacing w:line="500" w:lineRule="exact"/>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当适用于本合同工程的几种标准与规范出现意义不明或不一致时，应由质量管理单位作出解释和校正，并就此向承包人发出指令。除非本规范另有规定，在发生分歧时，根据合同条款规定应按以下顺序优先考虑：</w:t>
      </w:r>
    </w:p>
    <w:p w14:paraId="4E20BDF1">
      <w:pPr>
        <w:pStyle w:val="7"/>
        <w:keepNext w:val="0"/>
        <w:keepLines w:val="0"/>
        <w:pageBreakBefore w:val="0"/>
        <w:kinsoku/>
        <w:wordWrap/>
        <w:overflowPunct/>
        <w:topLinePunct w:val="0"/>
        <w:autoSpaceDE/>
        <w:bidi w:val="0"/>
        <w:adjustRightInd/>
        <w:spacing w:line="500" w:lineRule="exact"/>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（1）本项目建设标准。</w:t>
      </w:r>
    </w:p>
    <w:p w14:paraId="02F47728">
      <w:pPr>
        <w:pStyle w:val="7"/>
        <w:keepNext w:val="0"/>
        <w:keepLines w:val="0"/>
        <w:pageBreakBefore w:val="0"/>
        <w:kinsoku/>
        <w:wordWrap/>
        <w:overflowPunct/>
        <w:topLinePunct w:val="0"/>
        <w:autoSpaceDE/>
        <w:bidi w:val="0"/>
        <w:adjustRightInd/>
        <w:spacing w:line="500" w:lineRule="exact"/>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（2）中华人民共和国国家标准和规范。</w:t>
      </w:r>
    </w:p>
    <w:p w14:paraId="01E8F0E0">
      <w:pPr>
        <w:pStyle w:val="7"/>
        <w:keepNext w:val="0"/>
        <w:keepLines w:val="0"/>
        <w:pageBreakBefore w:val="0"/>
        <w:kinsoku/>
        <w:wordWrap/>
        <w:overflowPunct/>
        <w:topLinePunct w:val="0"/>
        <w:autoSpaceDE/>
        <w:bidi w:val="0"/>
        <w:adjustRightInd/>
        <w:spacing w:line="500" w:lineRule="exact"/>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（3）中华人民共和国有关部委的标准和规范。</w:t>
      </w:r>
    </w:p>
    <w:p w14:paraId="4E881DDD">
      <w:pPr>
        <w:pStyle w:val="7"/>
        <w:keepNext w:val="0"/>
        <w:keepLines w:val="0"/>
        <w:pageBreakBefore w:val="0"/>
        <w:kinsoku/>
        <w:wordWrap/>
        <w:overflowPunct/>
        <w:topLinePunct w:val="0"/>
        <w:autoSpaceDE/>
        <w:bidi w:val="0"/>
        <w:adjustRightInd/>
        <w:spacing w:line="500" w:lineRule="exact"/>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（4）其他国家官方、团体或协会颁布的标准和规范。</w:t>
      </w:r>
    </w:p>
    <w:p w14:paraId="5E2C5D3F">
      <w:pPr>
        <w:keepNext w:val="0"/>
        <w:keepLines w:val="0"/>
        <w:pageBreakBefore w:val="0"/>
        <w:numPr>
          <w:ilvl w:val="0"/>
          <w:numId w:val="0"/>
        </w:numPr>
        <w:kinsoku/>
        <w:wordWrap/>
        <w:overflowPunct/>
        <w:topLinePunct w:val="0"/>
        <w:autoSpaceDE/>
        <w:bidi w:val="0"/>
        <w:adjustRightInd/>
        <w:spacing w:line="500" w:lineRule="exact"/>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四</w:t>
      </w:r>
      <w:r>
        <w:rPr>
          <w:rFonts w:hint="eastAsia" w:ascii="仿宋" w:hAnsi="仿宋" w:eastAsia="仿宋" w:cs="仿宋"/>
          <w:b/>
          <w:color w:val="auto"/>
          <w:kern w:val="2"/>
          <w:sz w:val="24"/>
          <w:szCs w:val="24"/>
          <w:highlight w:val="none"/>
          <w:lang w:val="en-US" w:eastAsia="zh-CN" w:bidi="ar-SA"/>
        </w:rPr>
        <w:t>、报价说明</w:t>
      </w:r>
    </w:p>
    <w:p w14:paraId="6C6DFEAB">
      <w:pPr>
        <w:keepNext w:val="0"/>
        <w:keepLines w:val="0"/>
        <w:pageBreakBefore w:val="0"/>
        <w:kinsoku/>
        <w:wordWrap/>
        <w:overflowPunct/>
        <w:topLinePunct w:val="0"/>
        <w:autoSpaceDE/>
        <w:bidi w:val="0"/>
        <w:adjustRightInd/>
        <w:spacing w:line="500" w:lineRule="exact"/>
        <w:ind w:firstLine="480" w:firstLineChars="200"/>
        <w:textAlignment w:val="auto"/>
        <w:rPr>
          <w:rFonts w:hint="eastAsia" w:ascii="仿宋" w:hAnsi="仿宋" w:eastAsia="仿宋" w:cs="仿宋"/>
          <w:color w:val="auto"/>
          <w:sz w:val="24"/>
          <w:highlight w:val="none"/>
          <w:u w:val="single"/>
          <w:lang w:eastAsia="zh-CN"/>
        </w:rPr>
      </w:pPr>
      <w:r>
        <w:rPr>
          <w:rFonts w:hint="eastAsia" w:ascii="仿宋" w:hAnsi="仿宋" w:eastAsia="仿宋" w:cs="仿宋"/>
          <w:b w:val="0"/>
          <w:bCs w:val="0"/>
          <w:color w:val="auto"/>
          <w:sz w:val="24"/>
          <w:highlight w:val="none"/>
          <w:u w:val="single"/>
        </w:rPr>
        <w:t>本项目折扣招标，本项目结算按审计单位核准价格的95%为上限价，各投标单位在不超过核准价95%的基础下进行优惠报价。但凡超大于（或等于）95%限价的，均作无效标处理。</w:t>
      </w:r>
    </w:p>
    <w:p w14:paraId="6246A319">
      <w:pPr>
        <w:keepNext w:val="0"/>
        <w:keepLines w:val="0"/>
        <w:pageBreakBefore w:val="0"/>
        <w:kinsoku/>
        <w:wordWrap/>
        <w:overflowPunct/>
        <w:topLinePunct w:val="0"/>
        <w:autoSpaceDE/>
        <w:bidi w:val="0"/>
        <w:adjustRightInd/>
        <w:spacing w:line="500" w:lineRule="exact"/>
        <w:ind w:firstLine="480" w:firstLineChars="2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本项目按市区一般三类工程取费。</w:t>
      </w:r>
    </w:p>
    <w:p w14:paraId="6716E634">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五</w:t>
      </w:r>
      <w:r>
        <w:rPr>
          <w:rFonts w:hint="eastAsia" w:ascii="仿宋" w:hAnsi="仿宋" w:eastAsia="仿宋" w:cs="仿宋"/>
          <w:b/>
          <w:bCs w:val="0"/>
          <w:color w:val="auto"/>
          <w:sz w:val="24"/>
          <w:highlight w:val="none"/>
        </w:rPr>
        <w:t>、结算依据：</w:t>
      </w:r>
    </w:p>
    <w:p w14:paraId="0E055A36">
      <w:pPr>
        <w:keepNext w:val="0"/>
        <w:keepLines w:val="0"/>
        <w:pageBreakBefore w:val="0"/>
        <w:kinsoku/>
        <w:wordWrap/>
        <w:overflowPunct/>
        <w:topLinePunct w:val="0"/>
        <w:autoSpaceDE/>
        <w:bidi w:val="0"/>
        <w:adjustRightInd/>
        <w:spacing w:line="500" w:lineRule="exact"/>
        <w:ind w:firstLine="480" w:firstLineChars="200"/>
        <w:jc w:val="left"/>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 xml:space="preserve">1、有关定额、规范等依据： </w:t>
      </w:r>
    </w:p>
    <w:p w14:paraId="008850D5">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（1）《建设工程工程量清单计价规范》（GB50500-2013）及建设工程工程量计算规范（2013）浙江省补充规定；</w:t>
      </w:r>
    </w:p>
    <w:p w14:paraId="6EB18813">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（2）《市政工程工程量计算规范》（GB50857-2013）；</w:t>
      </w:r>
    </w:p>
    <w:p w14:paraId="702486B3">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（3）《浙江省市政工程预算定额》（2018版）；</w:t>
      </w:r>
    </w:p>
    <w:p w14:paraId="3D1A12F0">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（4）《浙江省建设工程计价规则》（2018版）；</w:t>
      </w:r>
    </w:p>
    <w:p w14:paraId="0784D8B7">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取费标准：</w:t>
      </w:r>
    </w:p>
    <w:p w14:paraId="3E5F09A5">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（1）本项目按市政道路工程取费。</w:t>
      </w:r>
    </w:p>
    <w:p w14:paraId="012545CB">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（2）企业管理费、利润根据《浙江省建设工程计价规则》（2018版）规定，按照规定的中间值计取。</w:t>
      </w:r>
    </w:p>
    <w:p w14:paraId="088D79D6">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（3）施工组织措施项目费根据《浙江省建设工程计价规则》（2018版）规定的市政土建工程中间值计取，其中安全</w:t>
      </w:r>
      <w:r>
        <w:rPr>
          <w:rFonts w:hint="eastAsia" w:ascii="仿宋" w:hAnsi="仿宋" w:eastAsia="仿宋" w:cs="仿宋"/>
          <w:b w:val="0"/>
          <w:bCs w:val="0"/>
          <w:color w:val="auto"/>
          <w:sz w:val="24"/>
          <w:highlight w:val="none"/>
          <w:lang w:val="en-US" w:eastAsia="zh-CN"/>
        </w:rPr>
        <w:t>文明</w:t>
      </w:r>
      <w:r>
        <w:rPr>
          <w:rFonts w:hint="eastAsia" w:ascii="仿宋" w:hAnsi="仿宋" w:eastAsia="仿宋" w:cs="仿宋"/>
          <w:b w:val="0"/>
          <w:bCs w:val="0"/>
          <w:color w:val="auto"/>
          <w:sz w:val="24"/>
          <w:highlight w:val="none"/>
        </w:rPr>
        <w:t>施工基本费按市区工程计取。</w:t>
      </w:r>
    </w:p>
    <w:p w14:paraId="302B507B">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（4）规费：其费率根据《浙江省建设工程计价规则》（2018版）规定，按一般计税的费率计取；</w:t>
      </w:r>
    </w:p>
    <w:p w14:paraId="1465164F">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（5）税金按增值税（按一般计税方法）计取，根据浙建建发[2019]92号规定费率按9%计取；</w:t>
      </w:r>
    </w:p>
    <w:p w14:paraId="0959C036">
      <w:pPr>
        <w:keepNext w:val="0"/>
        <w:keepLines w:val="0"/>
        <w:pageBreakBefore w:val="0"/>
        <w:kinsoku/>
        <w:wordWrap/>
        <w:overflowPunct/>
        <w:topLinePunct w:val="0"/>
        <w:autoSpaceDE/>
        <w:bidi w:val="0"/>
        <w:adjustRightInd/>
        <w:spacing w:line="500" w:lineRule="exact"/>
        <w:jc w:val="left"/>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（6）标化工地增加费及其他项目费（优质工程增加费及施工总承包服务费）不计。</w:t>
      </w:r>
    </w:p>
    <w:p w14:paraId="5F99EA74">
      <w:pPr>
        <w:keepNext w:val="0"/>
        <w:keepLines w:val="0"/>
        <w:pageBreakBefore w:val="0"/>
        <w:kinsoku/>
        <w:wordWrap/>
        <w:overflowPunct/>
        <w:topLinePunct w:val="0"/>
        <w:autoSpaceDE/>
        <w:bidi w:val="0"/>
        <w:adjustRightInd/>
        <w:spacing w:line="500" w:lineRule="exact"/>
        <w:ind w:firstLine="480" w:firstLineChars="200"/>
        <w:jc w:val="left"/>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2、造价信息：</w:t>
      </w:r>
    </w:p>
    <w:p w14:paraId="66599324">
      <w:pPr>
        <w:keepNext w:val="0"/>
        <w:keepLines w:val="0"/>
        <w:pageBreakBefore w:val="0"/>
        <w:kinsoku/>
        <w:wordWrap/>
        <w:overflowPunct/>
        <w:topLinePunct w:val="0"/>
        <w:autoSpaceDE/>
        <w:bidi w:val="0"/>
        <w:adjustRightInd/>
        <w:spacing w:line="500" w:lineRule="exact"/>
        <w:ind w:firstLine="480" w:firstLineChars="200"/>
        <w:jc w:val="left"/>
        <w:textAlignment w:val="auto"/>
        <w:rPr>
          <w:rFonts w:hint="eastAsia" w:ascii="仿宋" w:hAnsi="仿宋" w:eastAsia="仿宋" w:cs="仿宋"/>
          <w:color w:val="auto"/>
          <w:highlight w:val="none"/>
          <w:lang w:eastAsia="zh-CN"/>
        </w:rPr>
      </w:pPr>
      <w:r>
        <w:rPr>
          <w:rFonts w:hint="eastAsia" w:ascii="仿宋" w:hAnsi="仿宋" w:eastAsia="仿宋" w:cs="仿宋"/>
          <w:b w:val="0"/>
          <w:bCs w:val="0"/>
          <w:color w:val="auto"/>
          <w:sz w:val="24"/>
          <w:highlight w:val="none"/>
        </w:rPr>
        <w:t>材料价格参照《湖州市建设工程造价信息》（</w:t>
      </w:r>
      <w:r>
        <w:rPr>
          <w:rFonts w:hint="eastAsia" w:ascii="仿宋" w:hAnsi="仿宋" w:eastAsia="仿宋" w:cs="仿宋"/>
          <w:b w:val="0"/>
          <w:bCs w:val="0"/>
          <w:color w:val="auto"/>
          <w:sz w:val="24"/>
          <w:highlight w:val="none"/>
          <w:lang w:val="en-US" w:eastAsia="zh-CN"/>
        </w:rPr>
        <w:t>施工期</w:t>
      </w:r>
      <w:r>
        <w:rPr>
          <w:rFonts w:hint="eastAsia" w:ascii="仿宋" w:hAnsi="仿宋" w:eastAsia="仿宋" w:cs="仿宋"/>
          <w:b w:val="0"/>
          <w:bCs w:val="0"/>
          <w:color w:val="auto"/>
          <w:sz w:val="24"/>
          <w:highlight w:val="none"/>
        </w:rPr>
        <w:t>）及同期《浙江造价信息》，人工价格参照《湖州市建设工程造价信息》（</w:t>
      </w:r>
      <w:r>
        <w:rPr>
          <w:rFonts w:hint="eastAsia" w:ascii="仿宋" w:hAnsi="仿宋" w:eastAsia="仿宋" w:cs="仿宋"/>
          <w:b w:val="0"/>
          <w:bCs w:val="0"/>
          <w:color w:val="auto"/>
          <w:sz w:val="24"/>
          <w:highlight w:val="none"/>
          <w:lang w:val="en-US" w:eastAsia="zh-CN"/>
        </w:rPr>
        <w:t>施工期</w:t>
      </w:r>
      <w:r>
        <w:rPr>
          <w:rFonts w:hint="eastAsia" w:ascii="仿宋" w:hAnsi="仿宋" w:eastAsia="仿宋" w:cs="仿宋"/>
          <w:b w:val="0"/>
          <w:bCs w:val="0"/>
          <w:color w:val="auto"/>
          <w:sz w:val="24"/>
          <w:highlight w:val="none"/>
        </w:rPr>
        <w:t>）。基本原则为参照《湖州市建设工程造价信息》中湖州市区栏，湖州市区栏没有的参照同期《浙江造价信息》，以上均无价格信息的通过市场询价，由承包人提出综合单价，经发包人确认后执行。</w:t>
      </w:r>
    </w:p>
    <w:p w14:paraId="2BFCCC5E">
      <w:pPr>
        <w:keepNext w:val="0"/>
        <w:keepLines w:val="0"/>
        <w:pageBreakBefore w:val="0"/>
        <w:kinsoku/>
        <w:wordWrap/>
        <w:overflowPunct/>
        <w:topLinePunct w:val="0"/>
        <w:autoSpaceDE/>
        <w:bidi w:val="0"/>
        <w:adjustRightInd/>
        <w:spacing w:line="500" w:lineRule="exact"/>
        <w:textAlignment w:val="auto"/>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六</w:t>
      </w:r>
      <w:r>
        <w:rPr>
          <w:rFonts w:hint="eastAsia" w:ascii="仿宋" w:hAnsi="仿宋" w:eastAsia="仿宋" w:cs="仿宋"/>
          <w:b/>
          <w:color w:val="auto"/>
          <w:sz w:val="24"/>
          <w:highlight w:val="none"/>
        </w:rPr>
        <w:t>、</w:t>
      </w:r>
      <w:r>
        <w:rPr>
          <w:rFonts w:hint="eastAsia" w:ascii="仿宋" w:hAnsi="仿宋" w:eastAsia="仿宋" w:cs="仿宋"/>
          <w:b/>
          <w:color w:val="auto"/>
          <w:sz w:val="24"/>
          <w:highlight w:val="none"/>
          <w:lang w:eastAsia="zh-CN"/>
        </w:rPr>
        <w:t>商务要求</w:t>
      </w:r>
    </w:p>
    <w:tbl>
      <w:tblPr>
        <w:tblStyle w:val="24"/>
        <w:tblW w:w="9824" w:type="dxa"/>
        <w:tblInd w:w="-17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18"/>
        <w:gridCol w:w="8406"/>
      </w:tblGrid>
      <w:tr w14:paraId="06997A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1418" w:type="dxa"/>
            <w:tcBorders>
              <w:top w:val="single" w:color="auto" w:sz="4" w:space="0"/>
              <w:left w:val="single" w:color="auto" w:sz="4" w:space="0"/>
              <w:bottom w:val="single" w:color="auto" w:sz="4" w:space="0"/>
              <w:right w:val="single" w:color="auto" w:sz="4" w:space="0"/>
            </w:tcBorders>
            <w:vAlign w:val="center"/>
          </w:tcPr>
          <w:p w14:paraId="5C7B1115">
            <w:pPr>
              <w:keepNext w:val="0"/>
              <w:keepLines w:val="0"/>
              <w:pageBreakBefore w:val="0"/>
              <w:kinsoku/>
              <w:wordWrap/>
              <w:overflowPunct/>
              <w:topLinePunct w:val="0"/>
              <w:autoSpaceDE/>
              <w:bidi w:val="0"/>
              <w:adjustRightInd/>
              <w:snapToGrid w:val="0"/>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服务期</w:t>
            </w:r>
          </w:p>
        </w:tc>
        <w:tc>
          <w:tcPr>
            <w:tcW w:w="8406" w:type="dxa"/>
            <w:tcBorders>
              <w:top w:val="single" w:color="auto" w:sz="4" w:space="0"/>
              <w:left w:val="single" w:color="auto" w:sz="4" w:space="0"/>
              <w:bottom w:val="single" w:color="auto" w:sz="4" w:space="0"/>
              <w:right w:val="single" w:color="auto" w:sz="4" w:space="0"/>
            </w:tcBorders>
            <w:vAlign w:val="center"/>
          </w:tcPr>
          <w:p w14:paraId="25765ACD">
            <w:pPr>
              <w:keepNext w:val="0"/>
              <w:keepLines w:val="0"/>
              <w:pageBreakBefore w:val="0"/>
              <w:kinsoku/>
              <w:wordWrap/>
              <w:overflowPunct/>
              <w:topLinePunct w:val="0"/>
              <w:autoSpaceDE/>
              <w:bidi w:val="0"/>
              <w:adjustRightInd/>
              <w:snapToGrid w:val="0"/>
              <w:spacing w:line="500" w:lineRule="exact"/>
              <w:jc w:val="both"/>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年</w:t>
            </w:r>
          </w:p>
        </w:tc>
      </w:tr>
      <w:tr w14:paraId="649EFF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3" w:hRule="atLeast"/>
        </w:trPr>
        <w:tc>
          <w:tcPr>
            <w:tcW w:w="1418" w:type="dxa"/>
            <w:tcBorders>
              <w:top w:val="single" w:color="auto" w:sz="4" w:space="0"/>
              <w:left w:val="single" w:color="auto" w:sz="4" w:space="0"/>
              <w:bottom w:val="single" w:color="auto" w:sz="4" w:space="0"/>
              <w:right w:val="single" w:color="auto" w:sz="4" w:space="0"/>
            </w:tcBorders>
            <w:vAlign w:val="center"/>
          </w:tcPr>
          <w:p w14:paraId="069479A3">
            <w:pPr>
              <w:keepNext w:val="0"/>
              <w:keepLines w:val="0"/>
              <w:pageBreakBefore w:val="0"/>
              <w:kinsoku/>
              <w:wordWrap/>
              <w:overflowPunct/>
              <w:topLinePunct w:val="0"/>
              <w:autoSpaceDE/>
              <w:bidi w:val="0"/>
              <w:adjustRightInd/>
              <w:snapToGrid w:val="0"/>
              <w:spacing w:line="500" w:lineRule="exact"/>
              <w:jc w:val="center"/>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质保期</w:t>
            </w:r>
          </w:p>
        </w:tc>
        <w:tc>
          <w:tcPr>
            <w:tcW w:w="8406" w:type="dxa"/>
            <w:tcBorders>
              <w:top w:val="single" w:color="auto" w:sz="4" w:space="0"/>
              <w:left w:val="single" w:color="auto" w:sz="4" w:space="0"/>
              <w:bottom w:val="single" w:color="auto" w:sz="4" w:space="0"/>
              <w:right w:val="single" w:color="auto" w:sz="4" w:space="0"/>
            </w:tcBorders>
            <w:vAlign w:val="center"/>
          </w:tcPr>
          <w:p w14:paraId="31E3F0D1">
            <w:pPr>
              <w:keepNext w:val="0"/>
              <w:keepLines w:val="0"/>
              <w:pageBreakBefore w:val="0"/>
              <w:kinsoku/>
              <w:wordWrap/>
              <w:overflowPunct/>
              <w:topLinePunct w:val="0"/>
              <w:autoSpaceDE/>
              <w:bidi w:val="0"/>
              <w:adjustRightInd/>
              <w:snapToGrid w:val="0"/>
              <w:spacing w:line="500" w:lineRule="exact"/>
              <w:jc w:val="both"/>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1年</w:t>
            </w:r>
          </w:p>
        </w:tc>
      </w:tr>
      <w:tr w14:paraId="50E4EF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418" w:type="dxa"/>
            <w:tcBorders>
              <w:top w:val="single" w:color="auto" w:sz="4" w:space="0"/>
              <w:left w:val="single" w:color="auto" w:sz="4" w:space="0"/>
              <w:bottom w:val="single" w:color="auto" w:sz="4" w:space="0"/>
              <w:right w:val="single" w:color="auto" w:sz="4" w:space="0"/>
            </w:tcBorders>
            <w:vAlign w:val="center"/>
          </w:tcPr>
          <w:p w14:paraId="021BF7D9">
            <w:pPr>
              <w:keepNext w:val="0"/>
              <w:keepLines w:val="0"/>
              <w:pageBreakBefore w:val="0"/>
              <w:kinsoku/>
              <w:wordWrap/>
              <w:overflowPunct/>
              <w:topLinePunct w:val="0"/>
              <w:autoSpaceDE/>
              <w:bidi w:val="0"/>
              <w:adjustRightInd/>
              <w:snapToGrid w:val="0"/>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服务地点</w:t>
            </w:r>
          </w:p>
        </w:tc>
        <w:tc>
          <w:tcPr>
            <w:tcW w:w="8406" w:type="dxa"/>
            <w:tcBorders>
              <w:top w:val="single" w:color="auto" w:sz="4" w:space="0"/>
              <w:left w:val="single" w:color="auto" w:sz="4" w:space="0"/>
              <w:bottom w:val="single" w:color="auto" w:sz="4" w:space="0"/>
              <w:right w:val="single" w:color="auto" w:sz="4" w:space="0"/>
            </w:tcBorders>
            <w:vAlign w:val="center"/>
          </w:tcPr>
          <w:p w14:paraId="4DF4CD8B">
            <w:pPr>
              <w:keepNext w:val="0"/>
              <w:keepLines w:val="0"/>
              <w:pageBreakBefore w:val="0"/>
              <w:kinsoku/>
              <w:wordWrap/>
              <w:overflowPunct/>
              <w:topLinePunct w:val="0"/>
              <w:autoSpaceDE/>
              <w:bidi w:val="0"/>
              <w:adjustRightInd/>
              <w:spacing w:line="500" w:lineRule="exact"/>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▲采购人指定地点。</w:t>
            </w:r>
          </w:p>
        </w:tc>
      </w:tr>
      <w:tr w14:paraId="0F3494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6" w:hRule="atLeast"/>
        </w:trPr>
        <w:tc>
          <w:tcPr>
            <w:tcW w:w="1418" w:type="dxa"/>
            <w:tcBorders>
              <w:top w:val="single" w:color="auto" w:sz="4" w:space="0"/>
              <w:left w:val="single" w:color="auto" w:sz="4" w:space="0"/>
              <w:bottom w:val="single" w:color="auto" w:sz="4" w:space="0"/>
              <w:right w:val="single" w:color="auto" w:sz="4" w:space="0"/>
            </w:tcBorders>
            <w:vAlign w:val="center"/>
          </w:tcPr>
          <w:p w14:paraId="7BA67C51">
            <w:pPr>
              <w:keepNext w:val="0"/>
              <w:keepLines w:val="0"/>
              <w:pageBreakBefore w:val="0"/>
              <w:kinsoku/>
              <w:wordWrap/>
              <w:overflowPunct/>
              <w:topLinePunct w:val="0"/>
              <w:autoSpaceDE/>
              <w:bidi w:val="0"/>
              <w:adjustRightInd/>
              <w:snapToGrid w:val="0"/>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w:t>
            </w:r>
          </w:p>
        </w:tc>
        <w:tc>
          <w:tcPr>
            <w:tcW w:w="8406" w:type="dxa"/>
            <w:tcBorders>
              <w:top w:val="single" w:color="auto" w:sz="4" w:space="0"/>
              <w:left w:val="single" w:color="auto" w:sz="4" w:space="0"/>
              <w:bottom w:val="single" w:color="auto" w:sz="4" w:space="0"/>
              <w:right w:val="single" w:color="auto" w:sz="4" w:space="0"/>
            </w:tcBorders>
            <w:vAlign w:val="center"/>
          </w:tcPr>
          <w:p w14:paraId="70FBF69A">
            <w:pPr>
              <w:keepNext w:val="0"/>
              <w:keepLines w:val="0"/>
              <w:pageBreakBefore w:val="0"/>
              <w:kinsoku/>
              <w:wordWrap/>
              <w:overflowPunct/>
              <w:topLinePunct w:val="0"/>
              <w:autoSpaceDE/>
              <w:bidi w:val="0"/>
              <w:adjustRightInd/>
              <w:spacing w:line="500" w:lineRule="exact"/>
              <w:jc w:val="both"/>
              <w:textAlignment w:val="auto"/>
              <w:rPr>
                <w:rFonts w:hint="eastAsia" w:ascii="仿宋" w:hAnsi="仿宋" w:eastAsia="仿宋" w:cs="仿宋"/>
                <w:bCs/>
                <w:color w:val="auto"/>
                <w:sz w:val="24"/>
                <w:highlight w:val="none"/>
              </w:rPr>
            </w:pPr>
            <w:r>
              <w:rPr>
                <w:rFonts w:hint="eastAsia" w:ascii="仿宋" w:hAnsi="仿宋" w:eastAsia="仿宋" w:cs="仿宋"/>
                <w:b w:val="0"/>
                <w:bCs w:val="0"/>
                <w:color w:val="auto"/>
                <w:sz w:val="24"/>
                <w:highlight w:val="none"/>
                <w:lang w:val="en-US" w:eastAsia="zh-CN"/>
              </w:rPr>
              <w:t>中标</w:t>
            </w:r>
            <w:r>
              <w:rPr>
                <w:rFonts w:hint="eastAsia" w:ascii="仿宋" w:hAnsi="仿宋" w:eastAsia="仿宋" w:cs="仿宋"/>
                <w:b w:val="0"/>
                <w:bCs w:val="0"/>
                <w:color w:val="auto"/>
                <w:sz w:val="24"/>
                <w:highlight w:val="none"/>
              </w:rPr>
              <w:t>单位向采购人交纳合同金额的</w:t>
            </w: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rPr>
              <w:t>%作为履约保证金，履约保证金至合同履行完毕后5个工作日内退还。</w:t>
            </w:r>
            <w:r>
              <w:rPr>
                <w:rFonts w:hint="eastAsia" w:ascii="仿宋" w:hAnsi="仿宋" w:eastAsia="仿宋" w:cs="仿宋"/>
                <w:color w:val="auto"/>
                <w:spacing w:val="-1"/>
                <w:sz w:val="24"/>
                <w:szCs w:val="24"/>
                <w:highlight w:val="none"/>
                <w:lang w:val="en-US" w:eastAsia="zh-CN"/>
              </w:rPr>
              <w:t>（缴纳形式为以支票、汇票、本票或者金融机构、担保机构出具的保函等非现金形式提交）。</w:t>
            </w:r>
          </w:p>
        </w:tc>
      </w:tr>
      <w:tr w14:paraId="3CC75B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1418" w:type="dxa"/>
            <w:tcBorders>
              <w:top w:val="single" w:color="auto" w:sz="4" w:space="0"/>
              <w:left w:val="single" w:color="auto" w:sz="4" w:space="0"/>
              <w:bottom w:val="single" w:color="auto" w:sz="4" w:space="0"/>
              <w:right w:val="single" w:color="auto" w:sz="4" w:space="0"/>
            </w:tcBorders>
            <w:vAlign w:val="center"/>
          </w:tcPr>
          <w:p w14:paraId="4B54E87E">
            <w:pPr>
              <w:keepNext w:val="0"/>
              <w:keepLines w:val="0"/>
              <w:pageBreakBefore w:val="0"/>
              <w:kinsoku/>
              <w:wordWrap/>
              <w:overflowPunct/>
              <w:topLinePunct w:val="0"/>
              <w:autoSpaceDE/>
              <w:bidi w:val="0"/>
              <w:adjustRightInd/>
              <w:snapToGrid w:val="0"/>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付款</w:t>
            </w:r>
            <w:r>
              <w:rPr>
                <w:rFonts w:hint="eastAsia" w:ascii="仿宋" w:hAnsi="仿宋" w:eastAsia="仿宋" w:cs="仿宋"/>
                <w:color w:val="auto"/>
                <w:sz w:val="24"/>
                <w:highlight w:val="none"/>
                <w:lang w:val="en-US" w:eastAsia="zh-CN"/>
              </w:rPr>
              <w:t>方式</w:t>
            </w:r>
          </w:p>
        </w:tc>
        <w:tc>
          <w:tcPr>
            <w:tcW w:w="8406" w:type="dxa"/>
            <w:tcBorders>
              <w:top w:val="single" w:color="auto" w:sz="4" w:space="0"/>
              <w:left w:val="single" w:color="auto" w:sz="4" w:space="0"/>
              <w:bottom w:val="single" w:color="auto" w:sz="4" w:space="0"/>
              <w:right w:val="single" w:color="auto" w:sz="4" w:space="0"/>
            </w:tcBorders>
            <w:vAlign w:val="center"/>
          </w:tcPr>
          <w:p w14:paraId="0BE04754">
            <w:pPr>
              <w:keepNext w:val="0"/>
              <w:keepLines w:val="0"/>
              <w:pageBreakBefore w:val="0"/>
              <w:kinsoku/>
              <w:wordWrap/>
              <w:overflowPunct/>
              <w:topLinePunct w:val="0"/>
              <w:autoSpaceDE/>
              <w:bidi w:val="0"/>
              <w:adjustRightInd/>
              <w:snapToGrid w:val="0"/>
              <w:spacing w:line="500" w:lineRule="exact"/>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▲合同生效并具备实施条件后7日内支付年度合同价款的</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0%作为预付款，余款按单个</w:t>
            </w:r>
            <w:r>
              <w:rPr>
                <w:rFonts w:hint="eastAsia" w:ascii="仿宋" w:hAnsi="仿宋" w:eastAsia="仿宋" w:cs="仿宋"/>
                <w:color w:val="auto"/>
                <w:sz w:val="24"/>
                <w:highlight w:val="none"/>
                <w:lang w:eastAsia="zh-CN"/>
              </w:rPr>
              <w:t>项目</w:t>
            </w:r>
            <w:r>
              <w:rPr>
                <w:rFonts w:hint="eastAsia" w:ascii="仿宋" w:hAnsi="仿宋" w:eastAsia="仿宋" w:cs="仿宋"/>
                <w:color w:val="auto"/>
                <w:sz w:val="24"/>
                <w:highlight w:val="none"/>
              </w:rPr>
              <w:t>或当年实际完成的工程量，经验收合格，支付至核准价的100%。</w:t>
            </w:r>
          </w:p>
          <w:p w14:paraId="12E64488">
            <w:pPr>
              <w:keepNext w:val="0"/>
              <w:keepLines w:val="0"/>
              <w:pageBreakBefore w:val="0"/>
              <w:kinsoku/>
              <w:wordWrap/>
              <w:overflowPunct/>
              <w:topLinePunct w:val="0"/>
              <w:autoSpaceDE/>
              <w:bidi w:val="0"/>
              <w:adjustRightInd/>
              <w:snapToGrid w:val="0"/>
              <w:spacing w:line="500" w:lineRule="exact"/>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注：若中标供应商明确表示无需预付款或者主动要求降低预付款比例的，采购人可不适用前述规定。</w:t>
            </w:r>
          </w:p>
        </w:tc>
      </w:tr>
      <w:tr w14:paraId="4AC28A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1418" w:type="dxa"/>
            <w:tcBorders>
              <w:top w:val="single" w:color="auto" w:sz="4" w:space="0"/>
              <w:left w:val="single" w:color="auto" w:sz="4" w:space="0"/>
              <w:bottom w:val="single" w:color="auto" w:sz="4" w:space="0"/>
              <w:right w:val="single" w:color="auto" w:sz="4" w:space="0"/>
            </w:tcBorders>
            <w:vAlign w:val="center"/>
          </w:tcPr>
          <w:p w14:paraId="3D060BAC">
            <w:pPr>
              <w:keepNext w:val="0"/>
              <w:keepLines w:val="0"/>
              <w:pageBreakBefore w:val="0"/>
              <w:kinsoku/>
              <w:wordWrap/>
              <w:overflowPunct/>
              <w:topLinePunct w:val="0"/>
              <w:autoSpaceDE/>
              <w:bidi w:val="0"/>
              <w:adjustRightInd/>
              <w:spacing w:line="500" w:lineRule="exact"/>
              <w:jc w:val="center"/>
              <w:textAlignment w:val="auto"/>
              <w:rPr>
                <w:rFonts w:hint="eastAsia" w:ascii="仿宋" w:hAnsi="仿宋" w:eastAsia="仿宋" w:cs="仿宋"/>
                <w:b/>
                <w:color w:val="auto"/>
                <w:sz w:val="24"/>
                <w:highlight w:val="none"/>
              </w:rPr>
            </w:pPr>
            <w:r>
              <w:rPr>
                <w:rFonts w:hint="eastAsia" w:ascii="仿宋" w:hAnsi="仿宋" w:eastAsia="仿宋" w:cs="仿宋"/>
                <w:b w:val="0"/>
                <w:bCs w:val="0"/>
                <w:color w:val="auto"/>
                <w:sz w:val="24"/>
                <w:highlight w:val="none"/>
              </w:rPr>
              <w:t>其他要求</w:t>
            </w:r>
          </w:p>
        </w:tc>
        <w:tc>
          <w:tcPr>
            <w:tcW w:w="8406" w:type="dxa"/>
            <w:tcBorders>
              <w:top w:val="single" w:color="auto" w:sz="4" w:space="0"/>
              <w:left w:val="single" w:color="auto" w:sz="4" w:space="0"/>
              <w:bottom w:val="single" w:color="auto" w:sz="4" w:space="0"/>
              <w:right w:val="single" w:color="auto" w:sz="4" w:space="0"/>
            </w:tcBorders>
            <w:vAlign w:val="top"/>
          </w:tcPr>
          <w:p w14:paraId="7E831AC3">
            <w:pPr>
              <w:keepNext w:val="0"/>
              <w:keepLines w:val="0"/>
              <w:pageBreakBefore w:val="0"/>
              <w:kinsoku/>
              <w:wordWrap/>
              <w:overflowPunct/>
              <w:topLinePunct w:val="0"/>
              <w:autoSpaceDE/>
              <w:bidi w:val="0"/>
              <w:adjustRightInd/>
              <w:spacing w:line="500" w:lineRule="exact"/>
              <w:textAlignment w:val="auto"/>
              <w:rPr>
                <w:rFonts w:hint="eastAsia" w:ascii="仿宋" w:hAnsi="仿宋" w:eastAsia="仿宋" w:cs="仿宋"/>
                <w:color w:val="auto"/>
                <w:highlight w:val="none"/>
              </w:rPr>
            </w:pPr>
            <w:r>
              <w:rPr>
                <w:rFonts w:hint="eastAsia" w:ascii="仿宋" w:hAnsi="仿宋" w:eastAsia="仿宋" w:cs="仿宋"/>
                <w:color w:val="auto"/>
                <w:sz w:val="24"/>
                <w:highlight w:val="none"/>
              </w:rPr>
              <w:t>服务期内实际工程量达到采购预算额度的，采购人有权提前终止合同；未达到的采购预算额度的，待服务期满以最终核准量为准。</w:t>
            </w:r>
          </w:p>
        </w:tc>
      </w:tr>
    </w:tbl>
    <w:p w14:paraId="51496122">
      <w:pPr>
        <w:pStyle w:val="10"/>
        <w:keepNext w:val="0"/>
        <w:keepLines w:val="0"/>
        <w:pageBreakBefore w:val="0"/>
        <w:kinsoku/>
        <w:wordWrap/>
        <w:overflowPunct/>
        <w:topLinePunct w:val="0"/>
        <w:autoSpaceDE/>
        <w:bidi w:val="0"/>
        <w:adjustRightInd/>
        <w:spacing w:after="0" w:line="500" w:lineRule="exact"/>
        <w:textAlignment w:val="auto"/>
        <w:rPr>
          <w:rFonts w:hint="eastAsia" w:ascii="仿宋" w:hAnsi="仿宋" w:eastAsia="仿宋" w:cs="仿宋"/>
          <w:color w:val="auto"/>
          <w:kern w:val="0"/>
          <w:sz w:val="24"/>
          <w:szCs w:val="22"/>
          <w:highlight w:val="none"/>
        </w:rPr>
      </w:pPr>
      <w:r>
        <w:rPr>
          <w:rFonts w:hint="eastAsia" w:ascii="仿宋" w:hAnsi="仿宋" w:eastAsia="仿宋" w:cs="仿宋"/>
          <w:color w:val="auto"/>
          <w:sz w:val="24"/>
          <w:szCs w:val="22"/>
          <w:highlight w:val="none"/>
        </w:rPr>
        <w:t>注：</w:t>
      </w:r>
      <w:r>
        <w:rPr>
          <w:rFonts w:hint="eastAsia" w:ascii="仿宋" w:hAnsi="仿宋" w:eastAsia="仿宋" w:cs="仿宋"/>
          <w:b/>
          <w:bCs/>
          <w:color w:val="auto"/>
          <w:sz w:val="24"/>
          <w:szCs w:val="22"/>
          <w:highlight w:val="none"/>
        </w:rPr>
        <w:t>1、本项目采购标的对应的中小企业划分标准所属行业为</w:t>
      </w:r>
      <w:r>
        <w:rPr>
          <w:rFonts w:hint="eastAsia" w:ascii="仿宋" w:hAnsi="仿宋" w:eastAsia="仿宋" w:cs="仿宋"/>
          <w:b/>
          <w:bCs/>
          <w:color w:val="auto"/>
          <w:sz w:val="24"/>
          <w:szCs w:val="22"/>
          <w:highlight w:val="none"/>
          <w:lang w:eastAsia="zh-CN"/>
        </w:rPr>
        <w:t>建筑业</w:t>
      </w:r>
      <w:r>
        <w:rPr>
          <w:rFonts w:hint="eastAsia" w:ascii="仿宋" w:hAnsi="仿宋" w:eastAsia="仿宋" w:cs="仿宋"/>
          <w:b/>
          <w:bCs/>
          <w:color w:val="auto"/>
          <w:sz w:val="24"/>
          <w:szCs w:val="22"/>
          <w:highlight w:val="none"/>
        </w:rPr>
        <w:t>。</w:t>
      </w:r>
    </w:p>
    <w:p w14:paraId="6652F33F">
      <w:pPr>
        <w:pStyle w:val="10"/>
        <w:keepNext w:val="0"/>
        <w:keepLines w:val="0"/>
        <w:pageBreakBefore w:val="0"/>
        <w:kinsoku/>
        <w:wordWrap/>
        <w:overflowPunct/>
        <w:topLinePunct w:val="0"/>
        <w:autoSpaceDE/>
        <w:bidi w:val="0"/>
        <w:adjustRightInd/>
        <w:spacing w:after="0" w:line="500" w:lineRule="exact"/>
        <w:textAlignment w:val="auto"/>
        <w:rPr>
          <w:rFonts w:hint="eastAsia" w:ascii="仿宋" w:hAnsi="仿宋" w:eastAsia="仿宋" w:cs="仿宋"/>
          <w:color w:val="auto"/>
          <w:kern w:val="0"/>
          <w:sz w:val="24"/>
          <w:szCs w:val="22"/>
          <w:highlight w:val="none"/>
        </w:rPr>
      </w:pPr>
      <w:r>
        <w:rPr>
          <w:rFonts w:hint="eastAsia" w:ascii="仿宋" w:hAnsi="仿宋" w:eastAsia="仿宋" w:cs="仿宋"/>
          <w:color w:val="auto"/>
          <w:kern w:val="0"/>
          <w:sz w:val="24"/>
          <w:szCs w:val="22"/>
          <w:highlight w:val="none"/>
        </w:rPr>
        <w:t>2、依据《政府采购促进中小企业发展管理办法》（财库【2020】46号）规定享受扶持政策获得政府采购合同的，小微企业不得将合同分包给大中型企业，中型企业不得将合同分包给大型企业。</w:t>
      </w:r>
    </w:p>
    <w:p w14:paraId="34F2528B">
      <w:pPr>
        <w:keepNext w:val="0"/>
        <w:keepLines w:val="0"/>
        <w:pageBreakBefore w:val="0"/>
        <w:shd w:val="solid" w:color="FFFFFF" w:fill="auto"/>
        <w:kinsoku/>
        <w:wordWrap/>
        <w:overflowPunct/>
        <w:topLinePunct w:val="0"/>
        <w:autoSpaceDE/>
        <w:autoSpaceDN w:val="0"/>
        <w:bidi w:val="0"/>
        <w:adjustRightInd/>
        <w:spacing w:line="50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3.本招标文件中带“▲"的有关技术和商务条款为实质性条款</w:t>
      </w:r>
      <w:r>
        <w:rPr>
          <w:rFonts w:hint="eastAsia" w:ascii="仿宋" w:hAnsi="仿宋" w:eastAsia="仿宋" w:cs="仿宋"/>
          <w:b w:val="0"/>
          <w:bCs w:val="0"/>
          <w:color w:val="auto"/>
          <w:sz w:val="24"/>
          <w:highlight w:val="none"/>
        </w:rPr>
        <w:t>，</w:t>
      </w:r>
      <w:r>
        <w:rPr>
          <w:rFonts w:hint="eastAsia" w:ascii="仿宋" w:hAnsi="仿宋" w:eastAsia="仿宋" w:cs="仿宋"/>
          <w:color w:val="auto"/>
          <w:sz w:val="24"/>
          <w:szCs w:val="24"/>
          <w:highlight w:val="none"/>
        </w:rPr>
        <w:t>投标人必须在投标文件中作出实质性响应。否则投标无效。</w:t>
      </w:r>
    </w:p>
    <w:p w14:paraId="3C22466E">
      <w:pPr>
        <w:pStyle w:val="3"/>
        <w:keepNext w:val="0"/>
        <w:pageBreakBefore/>
        <w:numPr>
          <w:ilvl w:val="0"/>
          <w:numId w:val="0"/>
        </w:numPr>
        <w:spacing w:line="360" w:lineRule="auto"/>
        <w:jc w:val="center"/>
        <w:rPr>
          <w:rFonts w:hint="eastAsia" w:ascii="仿宋" w:hAnsi="仿宋" w:eastAsia="仿宋" w:cs="仿宋"/>
          <w:b/>
          <w:bCs/>
          <w:color w:val="auto"/>
          <w:sz w:val="30"/>
          <w:szCs w:val="30"/>
          <w:highlight w:val="none"/>
        </w:rPr>
      </w:pPr>
      <w:r>
        <w:rPr>
          <w:rFonts w:hint="eastAsia" w:ascii="仿宋" w:hAnsi="仿宋" w:eastAsia="仿宋" w:cs="仿宋"/>
          <w:color w:val="auto"/>
          <w:sz w:val="32"/>
          <w:highlight w:val="none"/>
          <w:lang w:eastAsia="zh-CN"/>
        </w:rPr>
        <w:t>第三章</w:t>
      </w:r>
      <w:r>
        <w:rPr>
          <w:rFonts w:hint="eastAsia" w:ascii="仿宋" w:hAnsi="仿宋" w:eastAsia="仿宋" w:cs="仿宋"/>
          <w:color w:val="auto"/>
          <w:sz w:val="32"/>
          <w:highlight w:val="none"/>
          <w:lang w:val="en-US" w:eastAsia="zh-CN"/>
        </w:rPr>
        <w:t xml:space="preserve">  </w:t>
      </w:r>
      <w:r>
        <w:rPr>
          <w:rFonts w:hint="eastAsia" w:ascii="仿宋" w:hAnsi="仿宋" w:eastAsia="仿宋" w:cs="仿宋"/>
          <w:color w:val="auto"/>
          <w:sz w:val="32"/>
          <w:highlight w:val="none"/>
        </w:rPr>
        <w:t>投标人须知</w:t>
      </w:r>
      <w:bookmarkStart w:id="6" w:name="_Toc98731777"/>
      <w:bookmarkStart w:id="7" w:name="_Toc130094928"/>
      <w:bookmarkStart w:id="8" w:name="_Toc98731756"/>
      <w:bookmarkStart w:id="9" w:name="_Toc130094913"/>
    </w:p>
    <w:p w14:paraId="34BB6FA8">
      <w:pPr>
        <w:jc w:val="center"/>
        <w:rPr>
          <w:rFonts w:hint="eastAsia" w:ascii="仿宋" w:hAnsi="仿宋" w:eastAsia="仿宋" w:cs="仿宋"/>
          <w:color w:val="auto"/>
          <w:highlight w:val="none"/>
        </w:rPr>
      </w:pPr>
      <w:r>
        <w:rPr>
          <w:rFonts w:hint="eastAsia" w:ascii="仿宋" w:hAnsi="仿宋" w:eastAsia="仿宋" w:cs="仿宋"/>
          <w:b/>
          <w:bCs/>
          <w:color w:val="auto"/>
          <w:sz w:val="30"/>
          <w:szCs w:val="30"/>
          <w:highlight w:val="none"/>
        </w:rPr>
        <w:t>前附表</w:t>
      </w:r>
    </w:p>
    <w:bookmarkEnd w:id="6"/>
    <w:bookmarkEnd w:id="7"/>
    <w:tbl>
      <w:tblPr>
        <w:tblStyle w:val="24"/>
        <w:tblW w:w="9728" w:type="dxa"/>
        <w:tblInd w:w="-31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4"/>
        <w:gridCol w:w="8984"/>
      </w:tblGrid>
      <w:tr w14:paraId="2CB3F7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44" w:type="dxa"/>
            <w:tcBorders>
              <w:top w:val="single" w:color="auto" w:sz="4" w:space="0"/>
              <w:left w:val="single" w:color="auto" w:sz="4" w:space="0"/>
              <w:bottom w:val="single" w:color="auto" w:sz="4" w:space="0"/>
              <w:right w:val="single" w:color="auto" w:sz="4" w:space="0"/>
            </w:tcBorders>
            <w:vAlign w:val="center"/>
          </w:tcPr>
          <w:p w14:paraId="44F1B859">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8984" w:type="dxa"/>
            <w:tcBorders>
              <w:top w:val="single" w:color="auto" w:sz="4" w:space="0"/>
              <w:left w:val="nil"/>
              <w:bottom w:val="single" w:color="auto" w:sz="4" w:space="0"/>
              <w:right w:val="single" w:color="auto" w:sz="4" w:space="0"/>
            </w:tcBorders>
            <w:vAlign w:val="center"/>
          </w:tcPr>
          <w:p w14:paraId="45A4F40E">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内容、要求</w:t>
            </w:r>
          </w:p>
        </w:tc>
      </w:tr>
      <w:tr w14:paraId="072BAC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744" w:type="dxa"/>
            <w:tcBorders>
              <w:top w:val="single" w:color="auto" w:sz="4" w:space="0"/>
              <w:left w:val="single" w:color="auto" w:sz="4" w:space="0"/>
              <w:bottom w:val="single" w:color="auto" w:sz="4" w:space="0"/>
              <w:right w:val="single" w:color="auto" w:sz="4" w:space="0"/>
            </w:tcBorders>
            <w:vAlign w:val="center"/>
          </w:tcPr>
          <w:p w14:paraId="673F6AC2">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8984" w:type="dxa"/>
            <w:tcBorders>
              <w:top w:val="single" w:color="auto" w:sz="4" w:space="0"/>
              <w:left w:val="nil"/>
              <w:bottom w:val="single" w:color="auto" w:sz="4" w:space="0"/>
              <w:right w:val="single" w:color="auto" w:sz="4" w:space="0"/>
            </w:tcBorders>
            <w:vAlign w:val="center"/>
          </w:tcPr>
          <w:p w14:paraId="4067BEF0">
            <w:pPr>
              <w:jc w:val="both"/>
              <w:rPr>
                <w:rFonts w:hint="default" w:ascii="仿宋" w:hAnsi="仿宋" w:eastAsia="仿宋" w:cs="仿宋"/>
                <w:color w:val="auto"/>
                <w:spacing w:val="-14"/>
                <w:sz w:val="24"/>
                <w:highlight w:val="none"/>
                <w:lang w:val="en-US" w:eastAsia="zh-CN"/>
              </w:rPr>
            </w:pPr>
            <w:r>
              <w:rPr>
                <w:rFonts w:hint="eastAsia" w:ascii="仿宋" w:hAnsi="仿宋" w:eastAsia="仿宋" w:cs="仿宋"/>
                <w:color w:val="auto"/>
                <w:spacing w:val="-14"/>
                <w:sz w:val="24"/>
                <w:highlight w:val="none"/>
              </w:rPr>
              <w:t>项目名称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湖州南太湖新区道路交通安全隐患综合治理服务项目（2025-2026年度）</w:t>
            </w:r>
          </w:p>
        </w:tc>
      </w:tr>
      <w:tr w14:paraId="563301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744" w:type="dxa"/>
            <w:tcBorders>
              <w:top w:val="single" w:color="auto" w:sz="4" w:space="0"/>
              <w:left w:val="single" w:color="auto" w:sz="4" w:space="0"/>
              <w:bottom w:val="single" w:color="auto" w:sz="4" w:space="0"/>
              <w:right w:val="single" w:color="auto" w:sz="4" w:space="0"/>
            </w:tcBorders>
            <w:vAlign w:val="center"/>
          </w:tcPr>
          <w:p w14:paraId="4595E6E8">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8984" w:type="dxa"/>
            <w:tcBorders>
              <w:top w:val="single" w:color="auto" w:sz="4" w:space="0"/>
              <w:left w:val="nil"/>
              <w:bottom w:val="single" w:color="auto" w:sz="4" w:space="0"/>
              <w:right w:val="single" w:color="auto" w:sz="4" w:space="0"/>
            </w:tcBorders>
            <w:vAlign w:val="center"/>
          </w:tcPr>
          <w:p w14:paraId="1CB2280C">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采购内容及数量：详见第二章</w:t>
            </w:r>
            <w:r>
              <w:rPr>
                <w:rFonts w:hint="eastAsia" w:ascii="仿宋" w:hAnsi="仿宋" w:eastAsia="仿宋" w:cs="仿宋"/>
                <w:color w:val="auto"/>
                <w:sz w:val="24"/>
                <w:highlight w:val="none"/>
                <w:lang w:val="en-US" w:eastAsia="zh-CN"/>
              </w:rPr>
              <w:t>招标</w:t>
            </w:r>
            <w:r>
              <w:rPr>
                <w:rFonts w:hint="eastAsia" w:ascii="仿宋" w:hAnsi="仿宋" w:eastAsia="仿宋" w:cs="仿宋"/>
                <w:color w:val="auto"/>
                <w:sz w:val="24"/>
                <w:highlight w:val="none"/>
              </w:rPr>
              <w:t>需求</w:t>
            </w:r>
          </w:p>
        </w:tc>
      </w:tr>
      <w:tr w14:paraId="1A9E88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744" w:type="dxa"/>
            <w:tcBorders>
              <w:top w:val="single" w:color="auto" w:sz="4" w:space="0"/>
              <w:left w:val="single" w:color="auto" w:sz="4" w:space="0"/>
              <w:bottom w:val="single" w:color="auto" w:sz="4" w:space="0"/>
              <w:right w:val="single" w:color="auto" w:sz="4" w:space="0"/>
            </w:tcBorders>
            <w:vAlign w:val="center"/>
          </w:tcPr>
          <w:p w14:paraId="4F3A468C">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8984" w:type="dxa"/>
            <w:tcBorders>
              <w:top w:val="single" w:color="auto" w:sz="4" w:space="0"/>
              <w:left w:val="nil"/>
              <w:bottom w:val="single" w:color="auto" w:sz="4" w:space="0"/>
              <w:right w:val="single" w:color="auto" w:sz="4" w:space="0"/>
            </w:tcBorders>
            <w:vAlign w:val="center"/>
          </w:tcPr>
          <w:p w14:paraId="5F96E689">
            <w:pPr>
              <w:spacing w:line="273"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投标报价及费用：</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本项目投标应以人民币报价；2、不论投标结果如何，投标人均应自行承担所有与投标有关的全部费用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3、</w:t>
            </w:r>
            <w:r>
              <w:rPr>
                <w:rFonts w:hint="eastAsia" w:ascii="仿宋" w:hAnsi="仿宋" w:eastAsia="仿宋"/>
                <w:color w:val="auto"/>
                <w:sz w:val="24"/>
                <w:highlight w:val="none"/>
              </w:rPr>
              <w:t>本项目代理服务费</w:t>
            </w:r>
            <w:r>
              <w:rPr>
                <w:rFonts w:hint="eastAsia" w:ascii="仿宋" w:hAnsi="仿宋" w:eastAsia="仿宋"/>
                <w:color w:val="auto"/>
                <w:sz w:val="24"/>
                <w:highlight w:val="none"/>
                <w:u w:val="single"/>
                <w:lang w:val="en-US" w:eastAsia="zh-CN"/>
              </w:rPr>
              <w:t>48620元</w:t>
            </w:r>
            <w:r>
              <w:rPr>
                <w:rFonts w:hint="eastAsia" w:ascii="仿宋" w:hAnsi="仿宋" w:eastAsia="仿宋"/>
                <w:color w:val="auto"/>
                <w:sz w:val="24"/>
                <w:highlight w:val="none"/>
              </w:rPr>
              <w:t>由中标人支付</w:t>
            </w:r>
            <w:r>
              <w:rPr>
                <w:rFonts w:hint="eastAsia" w:ascii="仿宋" w:hAnsi="仿宋" w:eastAsia="仿宋"/>
                <w:color w:val="auto"/>
                <w:sz w:val="24"/>
                <w:highlight w:val="none"/>
                <w:lang w:eastAsia="zh-CN"/>
              </w:rPr>
              <w:t>（</w:t>
            </w:r>
            <w:r>
              <w:rPr>
                <w:rFonts w:hint="eastAsia" w:ascii="仿宋" w:hAnsi="仿宋" w:eastAsia="仿宋"/>
                <w:color w:val="auto"/>
                <w:sz w:val="24"/>
                <w:highlight w:val="none"/>
                <w:lang w:val="en-US" w:eastAsia="zh-CN"/>
              </w:rPr>
              <w:t>其中标项一：</w:t>
            </w:r>
            <w:r>
              <w:rPr>
                <w:rFonts w:hint="eastAsia" w:ascii="仿宋" w:hAnsi="仿宋" w:eastAsia="仿宋"/>
                <w:color w:val="auto"/>
                <w:sz w:val="24"/>
                <w:highlight w:val="none"/>
                <w:u w:val="single"/>
                <w:lang w:val="en-US" w:eastAsia="zh-CN"/>
              </w:rPr>
              <w:t>23270元</w:t>
            </w:r>
            <w:r>
              <w:rPr>
                <w:rFonts w:hint="eastAsia" w:ascii="仿宋" w:hAnsi="仿宋" w:eastAsia="仿宋"/>
                <w:color w:val="auto"/>
                <w:sz w:val="24"/>
                <w:highlight w:val="none"/>
                <w:u w:val="none"/>
                <w:lang w:val="en-US" w:eastAsia="zh-CN"/>
              </w:rPr>
              <w:t>；</w:t>
            </w:r>
            <w:r>
              <w:rPr>
                <w:rFonts w:hint="eastAsia" w:ascii="仿宋" w:hAnsi="仿宋" w:eastAsia="仿宋"/>
                <w:color w:val="auto"/>
                <w:sz w:val="24"/>
                <w:highlight w:val="none"/>
                <w:lang w:val="en-US" w:eastAsia="zh-CN"/>
              </w:rPr>
              <w:t>标项二：</w:t>
            </w:r>
            <w:r>
              <w:rPr>
                <w:rFonts w:hint="eastAsia" w:ascii="仿宋" w:hAnsi="仿宋" w:eastAsia="仿宋"/>
                <w:color w:val="auto"/>
                <w:sz w:val="24"/>
                <w:highlight w:val="none"/>
                <w:u w:val="single"/>
                <w:lang w:val="en-US" w:eastAsia="zh-CN"/>
              </w:rPr>
              <w:t>25350元</w:t>
            </w:r>
            <w:r>
              <w:rPr>
                <w:rFonts w:hint="eastAsia" w:ascii="仿宋" w:hAnsi="仿宋" w:eastAsia="仿宋"/>
                <w:color w:val="auto"/>
                <w:sz w:val="24"/>
                <w:highlight w:val="none"/>
                <w:lang w:eastAsia="zh-CN"/>
              </w:rPr>
              <w:t>）</w:t>
            </w:r>
            <w:r>
              <w:rPr>
                <w:rFonts w:hint="eastAsia" w:ascii="仿宋" w:hAnsi="仿宋" w:eastAsia="仿宋"/>
                <w:color w:val="auto"/>
                <w:sz w:val="24"/>
                <w:highlight w:val="none"/>
              </w:rPr>
              <w:t>。在确定中标人后，领取中标通知书前，由中标人全额支付，请各投标人自行考虑计入投标报价中。</w:t>
            </w:r>
          </w:p>
        </w:tc>
      </w:tr>
      <w:tr w14:paraId="2453C4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1" w:hRule="atLeast"/>
        </w:trPr>
        <w:tc>
          <w:tcPr>
            <w:tcW w:w="744" w:type="dxa"/>
            <w:tcBorders>
              <w:top w:val="single" w:color="auto" w:sz="4" w:space="0"/>
              <w:left w:val="single" w:color="auto" w:sz="4" w:space="0"/>
              <w:bottom w:val="single" w:color="auto" w:sz="4" w:space="0"/>
              <w:right w:val="single" w:color="auto" w:sz="4" w:space="0"/>
            </w:tcBorders>
            <w:vAlign w:val="center"/>
          </w:tcPr>
          <w:p w14:paraId="210BC176">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8984" w:type="dxa"/>
            <w:tcBorders>
              <w:top w:val="single" w:color="auto" w:sz="4" w:space="0"/>
              <w:left w:val="nil"/>
              <w:bottom w:val="single" w:color="auto" w:sz="4" w:space="0"/>
              <w:right w:val="single" w:color="auto" w:sz="4" w:space="0"/>
            </w:tcBorders>
            <w:vAlign w:val="center"/>
          </w:tcPr>
          <w:p w14:paraId="332A9CE6">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答疑与澄清：投标人如认为招标文件表述不清晰、存在歧视性或者其他违法内容的，可以在知道或者应知其权益受到损害之日起7个工作日内，以书面形式向</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采购代理机构提出质疑，根据《中华人民共和国财政部令第94号-政府采购质疑和投诉办法》第十条第二款规定，投标人在法定质疑期内须一次性提出针对同一采购程序环节的质疑，否则采购代理机构有权拒绝第一次质疑以外其他所有质疑。答疑内容是招标文件的组成部分，并将在网上发布补充（答疑、澄清）文件，潜在投标人应自行关注网站公告，</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不再一一通知，投标人因自身贻误行为导致投标失效的，责任自负。</w:t>
            </w:r>
          </w:p>
        </w:tc>
      </w:tr>
      <w:tr w14:paraId="516D77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vAlign w:val="center"/>
          </w:tcPr>
          <w:p w14:paraId="63500C31">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8984" w:type="dxa"/>
            <w:tcBorders>
              <w:top w:val="single" w:color="auto" w:sz="4" w:space="0"/>
              <w:left w:val="nil"/>
              <w:bottom w:val="single" w:color="auto" w:sz="4" w:space="0"/>
              <w:right w:val="single" w:color="auto" w:sz="4" w:space="0"/>
            </w:tcBorders>
            <w:vAlign w:val="center"/>
          </w:tcPr>
          <w:p w14:paraId="176D58C9">
            <w:pPr>
              <w:snapToGrid w:val="0"/>
              <w:spacing w:line="500" w:lineRule="exact"/>
              <w:rPr>
                <w:rFonts w:hint="default" w:ascii="仿宋" w:hAnsi="仿宋" w:eastAsia="仿宋" w:cs="仿宋"/>
                <w:b/>
                <w:color w:val="auto"/>
                <w:sz w:val="24"/>
                <w:highlight w:val="none"/>
                <w:lang w:val="en-US" w:eastAsia="zh-CN"/>
              </w:rPr>
            </w:pPr>
            <w:r>
              <w:rPr>
                <w:rFonts w:hint="eastAsia" w:ascii="仿宋" w:hAnsi="仿宋" w:eastAsia="仿宋" w:cs="仿宋"/>
                <w:color w:val="auto"/>
                <w:sz w:val="24"/>
                <w:highlight w:val="none"/>
              </w:rPr>
              <w:t>采购预算</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760万元（</w:t>
            </w:r>
            <w:r>
              <w:rPr>
                <w:rFonts w:hint="eastAsia" w:ascii="仿宋" w:hAnsi="仿宋" w:eastAsia="仿宋" w:cs="仿宋"/>
                <w:b w:val="0"/>
                <w:bCs/>
                <w:color w:val="auto"/>
                <w:sz w:val="24"/>
                <w:highlight w:val="none"/>
                <w:lang w:val="en-US" w:eastAsia="zh-CN"/>
              </w:rPr>
              <w:t xml:space="preserve">其中标项一：360万元  标项二：400万元 </w:t>
            </w:r>
            <w:r>
              <w:rPr>
                <w:rFonts w:hint="eastAsia" w:ascii="仿宋" w:hAnsi="仿宋" w:eastAsia="仿宋" w:cs="仿宋"/>
                <w:color w:val="auto"/>
                <w:sz w:val="24"/>
                <w:highlight w:val="none"/>
                <w:lang w:val="en-US" w:eastAsia="zh-CN"/>
              </w:rPr>
              <w:t>）</w:t>
            </w:r>
          </w:p>
        </w:tc>
      </w:tr>
      <w:tr w14:paraId="577068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744" w:type="dxa"/>
            <w:tcBorders>
              <w:top w:val="single" w:color="auto" w:sz="4" w:space="0"/>
              <w:left w:val="single" w:color="auto" w:sz="4" w:space="0"/>
              <w:bottom w:val="single" w:color="auto" w:sz="4" w:space="0"/>
              <w:right w:val="single" w:color="auto" w:sz="4" w:space="0"/>
            </w:tcBorders>
            <w:vAlign w:val="center"/>
          </w:tcPr>
          <w:p w14:paraId="6966A508">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p>
        </w:tc>
        <w:tc>
          <w:tcPr>
            <w:tcW w:w="8984" w:type="dxa"/>
            <w:tcBorders>
              <w:top w:val="single" w:color="auto" w:sz="4" w:space="0"/>
              <w:left w:val="nil"/>
              <w:bottom w:val="single" w:color="auto" w:sz="4" w:space="0"/>
              <w:right w:val="single" w:color="auto" w:sz="4" w:space="0"/>
            </w:tcBorders>
            <w:vAlign w:val="center"/>
          </w:tcPr>
          <w:p w14:paraId="49BC2147">
            <w:pPr>
              <w:autoSpaceDE w:val="0"/>
              <w:autoSpaceDN w:val="0"/>
              <w:snapToGrid w:val="0"/>
              <w:spacing w:line="273" w:lineRule="auto"/>
              <w:textAlignment w:val="bottom"/>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1、投标文件的制作：本项目实行电子招投标。</w:t>
            </w:r>
          </w:p>
          <w:p w14:paraId="24D1680C">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、投标人应按要求提供电子投标文件及数据电子备份投标文件（U盘），具体内容如下：</w:t>
            </w:r>
          </w:p>
          <w:p w14:paraId="4517BFBC">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（1）电子投标文件：按政采云平台项目采购-电子交易操作指南及本招标文件要求制作、加密并递交，超过上传时间的视为放弃投标资格，作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w:t>
            </w:r>
          </w:p>
          <w:p w14:paraId="5012DF30">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数据电子备份投标文件（U盘）：以U盘形式提供的数据电子备份投标文件格式及内容须与政采云平台项目采购-电子交易操作指南中制作、加密并递交的电子投标文件格式及内容一致。数据电子备份投标文件应加密，允许制作成一个U盘，但须密封、包装，不按此规定密封、包装的数据电子备份响应文件（U盘）均按未提供处理。</w:t>
            </w:r>
          </w:p>
        </w:tc>
      </w:tr>
      <w:tr w14:paraId="2B8002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2" w:hRule="atLeast"/>
        </w:trPr>
        <w:tc>
          <w:tcPr>
            <w:tcW w:w="744" w:type="dxa"/>
            <w:tcBorders>
              <w:top w:val="single" w:color="auto" w:sz="4" w:space="0"/>
              <w:left w:val="single" w:color="auto" w:sz="4" w:space="0"/>
              <w:bottom w:val="single" w:color="auto" w:sz="4" w:space="0"/>
              <w:right w:val="single" w:color="auto" w:sz="4" w:space="0"/>
            </w:tcBorders>
            <w:vAlign w:val="center"/>
          </w:tcPr>
          <w:p w14:paraId="2536A388">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p>
        </w:tc>
        <w:tc>
          <w:tcPr>
            <w:tcW w:w="8984" w:type="dxa"/>
            <w:tcBorders>
              <w:top w:val="single" w:color="auto" w:sz="4" w:space="0"/>
              <w:left w:val="nil"/>
              <w:bottom w:val="single" w:color="auto" w:sz="4" w:space="0"/>
              <w:right w:val="single" w:color="auto" w:sz="4" w:space="0"/>
            </w:tcBorders>
            <w:vAlign w:val="center"/>
          </w:tcPr>
          <w:p w14:paraId="3FA3175B">
            <w:pPr>
              <w:snapToGrid w:val="0"/>
              <w:spacing w:line="273" w:lineRule="auto"/>
              <w:rPr>
                <w:rFonts w:hint="eastAsia" w:ascii="仿宋" w:hAnsi="仿宋" w:eastAsia="仿宋" w:cs="仿宋"/>
                <w:color w:val="auto"/>
                <w:sz w:val="24"/>
                <w:highlight w:val="none"/>
                <w:shd w:val="pct10" w:color="auto" w:fill="FFFFFF"/>
              </w:rPr>
            </w:pPr>
            <w:r>
              <w:rPr>
                <w:rFonts w:hint="eastAsia" w:ascii="仿宋" w:hAnsi="仿宋" w:eastAsia="仿宋" w:cs="仿宋"/>
                <w:color w:val="auto"/>
                <w:sz w:val="24"/>
                <w:highlight w:val="none"/>
              </w:rPr>
              <w:t>投标截止时间：</w:t>
            </w:r>
            <w:r>
              <w:rPr>
                <w:rFonts w:hint="eastAsia" w:ascii="仿宋" w:hAnsi="仿宋" w:eastAsia="仿宋" w:cs="仿宋"/>
                <w:color w:val="auto"/>
                <w:sz w:val="24"/>
                <w:highlight w:val="none"/>
                <w:shd w:val="pct10" w:color="auto" w:fill="FFFFFF"/>
              </w:rPr>
              <w:t>202</w:t>
            </w:r>
            <w:r>
              <w:rPr>
                <w:rFonts w:hint="eastAsia" w:ascii="仿宋" w:hAnsi="仿宋" w:eastAsia="仿宋" w:cs="仿宋"/>
                <w:color w:val="auto"/>
                <w:sz w:val="24"/>
                <w:highlight w:val="none"/>
                <w:shd w:val="pct10" w:color="auto" w:fill="FFFFFF"/>
                <w:lang w:val="en-US" w:eastAsia="zh-CN"/>
              </w:rPr>
              <w:t>5</w:t>
            </w:r>
            <w:r>
              <w:rPr>
                <w:rFonts w:hint="eastAsia" w:ascii="仿宋" w:hAnsi="仿宋" w:eastAsia="仿宋" w:cs="仿宋"/>
                <w:color w:val="auto"/>
                <w:sz w:val="24"/>
                <w:highlight w:val="none"/>
                <w:shd w:val="pct10" w:color="auto" w:fill="FFFFFF"/>
              </w:rPr>
              <w:t>年</w:t>
            </w:r>
            <w:r>
              <w:rPr>
                <w:rFonts w:hint="eastAsia" w:ascii="仿宋" w:hAnsi="仿宋" w:eastAsia="仿宋" w:cs="仿宋"/>
                <w:color w:val="auto"/>
                <w:sz w:val="24"/>
                <w:highlight w:val="none"/>
                <w:shd w:val="pct10" w:color="auto" w:fill="FFFFFF"/>
                <w:lang w:val="en-US" w:eastAsia="zh-CN"/>
              </w:rPr>
              <w:t>3</w:t>
            </w:r>
            <w:r>
              <w:rPr>
                <w:rFonts w:hint="eastAsia" w:ascii="仿宋" w:hAnsi="仿宋" w:eastAsia="仿宋" w:cs="仿宋"/>
                <w:color w:val="auto"/>
                <w:sz w:val="24"/>
                <w:highlight w:val="none"/>
                <w:shd w:val="pct10" w:color="auto" w:fill="FFFFFF"/>
              </w:rPr>
              <w:t>月</w:t>
            </w:r>
            <w:r>
              <w:rPr>
                <w:rFonts w:hint="eastAsia" w:ascii="仿宋" w:hAnsi="仿宋" w:eastAsia="仿宋" w:cs="仿宋"/>
                <w:color w:val="auto"/>
                <w:sz w:val="24"/>
                <w:highlight w:val="none"/>
                <w:shd w:val="pct10" w:color="auto" w:fill="FFFFFF"/>
                <w:lang w:val="en-US" w:eastAsia="zh-CN"/>
              </w:rPr>
              <w:t>11</w:t>
            </w:r>
            <w:r>
              <w:rPr>
                <w:rFonts w:hint="eastAsia" w:ascii="仿宋" w:hAnsi="仿宋" w:eastAsia="仿宋" w:cs="仿宋"/>
                <w:color w:val="auto"/>
                <w:sz w:val="24"/>
                <w:highlight w:val="none"/>
                <w:shd w:val="pct10" w:color="auto" w:fill="FFFFFF"/>
              </w:rPr>
              <w:t>日</w:t>
            </w:r>
            <w:r>
              <w:rPr>
                <w:rFonts w:hint="eastAsia" w:ascii="仿宋" w:hAnsi="仿宋" w:eastAsia="仿宋" w:cs="仿宋"/>
                <w:color w:val="auto"/>
                <w:sz w:val="24"/>
                <w:highlight w:val="none"/>
                <w:shd w:val="pct10" w:color="auto" w:fill="FFFFFF"/>
                <w:lang w:val="en-US" w:eastAsia="zh-CN"/>
              </w:rPr>
              <w:t>9</w:t>
            </w:r>
            <w:r>
              <w:rPr>
                <w:rFonts w:hint="eastAsia" w:ascii="仿宋" w:hAnsi="仿宋" w:eastAsia="仿宋" w:cs="仿宋"/>
                <w:color w:val="auto"/>
                <w:sz w:val="24"/>
                <w:highlight w:val="none"/>
                <w:shd w:val="pct10" w:color="auto" w:fill="FFFFFF"/>
                <w:lang w:eastAsia="zh-CN"/>
              </w:rPr>
              <w:t>:</w:t>
            </w:r>
            <w:r>
              <w:rPr>
                <w:rFonts w:hint="eastAsia" w:ascii="仿宋" w:hAnsi="仿宋" w:eastAsia="仿宋" w:cs="仿宋"/>
                <w:color w:val="auto"/>
                <w:sz w:val="24"/>
                <w:highlight w:val="none"/>
                <w:shd w:val="pct10" w:color="auto" w:fill="FFFFFF"/>
                <w:lang w:val="en-US" w:eastAsia="zh-CN"/>
              </w:rPr>
              <w:t>0</w:t>
            </w:r>
            <w:r>
              <w:rPr>
                <w:rFonts w:hint="eastAsia" w:ascii="仿宋" w:hAnsi="仿宋" w:eastAsia="仿宋" w:cs="仿宋"/>
                <w:color w:val="auto"/>
                <w:sz w:val="24"/>
                <w:highlight w:val="none"/>
                <w:shd w:val="pct10" w:color="auto" w:fill="FFFFFF"/>
                <w:lang w:eastAsia="zh-CN"/>
              </w:rPr>
              <w:t>0时</w:t>
            </w:r>
            <w:r>
              <w:rPr>
                <w:rFonts w:hint="eastAsia" w:ascii="仿宋" w:hAnsi="仿宋" w:eastAsia="仿宋" w:cs="仿宋"/>
                <w:color w:val="auto"/>
                <w:sz w:val="24"/>
                <w:highlight w:val="none"/>
                <w:shd w:val="pct10" w:color="auto" w:fill="FFFFFF"/>
              </w:rPr>
              <w:t>；</w:t>
            </w:r>
          </w:p>
          <w:p w14:paraId="37224992">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投标地点：（1）本项目通过“政府采购云平台（www.zcygov.cn）”实行在线投标响应（电子投标）；</w:t>
            </w:r>
          </w:p>
          <w:p w14:paraId="429692FC">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（2）投标人应当在投标截止时间前，将“电子加密投标文件”上传递交至“政府采购云平台”实行在线投标响应。投标截止时间以后上传递交的投标文件将被“政府采购云平台”拒收，作</w:t>
            </w:r>
            <w:r>
              <w:rPr>
                <w:rFonts w:hint="eastAsia" w:ascii="仿宋" w:hAnsi="仿宋" w:eastAsia="仿宋" w:cs="仿宋"/>
                <w:color w:val="auto"/>
                <w:sz w:val="24"/>
                <w:highlight w:val="none"/>
                <w:lang w:eastAsia="zh-CN"/>
              </w:rPr>
              <w:t>未递交投标文件处理。</w:t>
            </w:r>
          </w:p>
        </w:tc>
      </w:tr>
      <w:tr w14:paraId="75D2F9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744" w:type="dxa"/>
            <w:tcBorders>
              <w:top w:val="single" w:color="auto" w:sz="4" w:space="0"/>
              <w:left w:val="single" w:color="auto" w:sz="4" w:space="0"/>
              <w:bottom w:val="single" w:color="auto" w:sz="4" w:space="0"/>
              <w:right w:val="single" w:color="auto" w:sz="4" w:space="0"/>
            </w:tcBorders>
            <w:vAlign w:val="center"/>
          </w:tcPr>
          <w:p w14:paraId="5AF5425C">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p>
        </w:tc>
        <w:tc>
          <w:tcPr>
            <w:tcW w:w="8984" w:type="dxa"/>
            <w:tcBorders>
              <w:top w:val="single" w:color="auto" w:sz="4" w:space="0"/>
              <w:left w:val="nil"/>
              <w:bottom w:val="single" w:color="auto" w:sz="4" w:space="0"/>
              <w:right w:val="single" w:color="auto" w:sz="4" w:space="0"/>
            </w:tcBorders>
            <w:vAlign w:val="center"/>
          </w:tcPr>
          <w:p w14:paraId="233087BE">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开标时间：</w:t>
            </w:r>
            <w:r>
              <w:rPr>
                <w:rFonts w:hint="eastAsia" w:ascii="仿宋" w:hAnsi="仿宋" w:eastAsia="仿宋" w:cs="仿宋"/>
                <w:color w:val="auto"/>
                <w:sz w:val="24"/>
                <w:highlight w:val="none"/>
                <w:shd w:val="pct10" w:color="auto" w:fill="FFFFFF"/>
              </w:rPr>
              <w:t>202</w:t>
            </w:r>
            <w:r>
              <w:rPr>
                <w:rFonts w:hint="eastAsia" w:ascii="仿宋" w:hAnsi="仿宋" w:eastAsia="仿宋" w:cs="仿宋"/>
                <w:color w:val="auto"/>
                <w:sz w:val="24"/>
                <w:highlight w:val="none"/>
                <w:shd w:val="pct10" w:color="auto" w:fill="FFFFFF"/>
                <w:lang w:val="en-US" w:eastAsia="zh-CN"/>
              </w:rPr>
              <w:t>5</w:t>
            </w:r>
            <w:r>
              <w:rPr>
                <w:rFonts w:hint="eastAsia" w:ascii="仿宋" w:hAnsi="仿宋" w:eastAsia="仿宋" w:cs="仿宋"/>
                <w:color w:val="auto"/>
                <w:sz w:val="24"/>
                <w:highlight w:val="none"/>
                <w:shd w:val="pct10" w:color="auto" w:fill="FFFFFF"/>
              </w:rPr>
              <w:t>年</w:t>
            </w:r>
            <w:r>
              <w:rPr>
                <w:rFonts w:hint="eastAsia" w:ascii="仿宋" w:hAnsi="仿宋" w:eastAsia="仿宋" w:cs="仿宋"/>
                <w:color w:val="auto"/>
                <w:sz w:val="24"/>
                <w:highlight w:val="none"/>
                <w:shd w:val="pct10" w:color="auto" w:fill="FFFFFF"/>
                <w:lang w:val="en-US" w:eastAsia="zh-CN"/>
              </w:rPr>
              <w:t>3</w:t>
            </w:r>
            <w:r>
              <w:rPr>
                <w:rFonts w:hint="eastAsia" w:ascii="仿宋" w:hAnsi="仿宋" w:eastAsia="仿宋" w:cs="仿宋"/>
                <w:color w:val="auto"/>
                <w:sz w:val="24"/>
                <w:highlight w:val="none"/>
                <w:shd w:val="pct10" w:color="auto" w:fill="FFFFFF"/>
              </w:rPr>
              <w:t>月</w:t>
            </w:r>
            <w:r>
              <w:rPr>
                <w:rFonts w:hint="eastAsia" w:ascii="仿宋" w:hAnsi="仿宋" w:eastAsia="仿宋" w:cs="仿宋"/>
                <w:color w:val="auto"/>
                <w:sz w:val="24"/>
                <w:highlight w:val="none"/>
                <w:shd w:val="pct10" w:color="auto" w:fill="FFFFFF"/>
                <w:lang w:val="en-US" w:eastAsia="zh-CN"/>
              </w:rPr>
              <w:t>11</w:t>
            </w:r>
            <w:r>
              <w:rPr>
                <w:rFonts w:hint="eastAsia" w:ascii="仿宋" w:hAnsi="仿宋" w:eastAsia="仿宋" w:cs="仿宋"/>
                <w:color w:val="auto"/>
                <w:sz w:val="24"/>
                <w:highlight w:val="none"/>
                <w:shd w:val="pct10" w:color="auto" w:fill="FFFFFF"/>
              </w:rPr>
              <w:t>日</w:t>
            </w:r>
            <w:r>
              <w:rPr>
                <w:rFonts w:hint="eastAsia" w:ascii="仿宋" w:hAnsi="仿宋" w:eastAsia="仿宋" w:cs="仿宋"/>
                <w:color w:val="auto"/>
                <w:sz w:val="24"/>
                <w:highlight w:val="none"/>
                <w:shd w:val="pct10" w:color="auto" w:fill="FFFFFF"/>
                <w:lang w:val="en-US" w:eastAsia="zh-CN"/>
              </w:rPr>
              <w:t>9</w:t>
            </w:r>
            <w:r>
              <w:rPr>
                <w:rFonts w:hint="eastAsia" w:ascii="仿宋" w:hAnsi="仿宋" w:eastAsia="仿宋" w:cs="仿宋"/>
                <w:color w:val="auto"/>
                <w:sz w:val="24"/>
                <w:highlight w:val="none"/>
                <w:shd w:val="pct10" w:color="auto" w:fill="FFFFFF"/>
                <w:lang w:eastAsia="zh-CN"/>
              </w:rPr>
              <w:t>:</w:t>
            </w:r>
            <w:r>
              <w:rPr>
                <w:rFonts w:hint="eastAsia" w:ascii="仿宋" w:hAnsi="仿宋" w:eastAsia="仿宋" w:cs="仿宋"/>
                <w:color w:val="auto"/>
                <w:sz w:val="24"/>
                <w:highlight w:val="none"/>
                <w:shd w:val="pct10" w:color="auto" w:fill="FFFFFF"/>
                <w:lang w:val="en-US" w:eastAsia="zh-CN"/>
              </w:rPr>
              <w:t>0</w:t>
            </w:r>
            <w:r>
              <w:rPr>
                <w:rFonts w:hint="eastAsia" w:ascii="仿宋" w:hAnsi="仿宋" w:eastAsia="仿宋" w:cs="仿宋"/>
                <w:color w:val="auto"/>
                <w:sz w:val="24"/>
                <w:highlight w:val="none"/>
                <w:shd w:val="pct10" w:color="auto" w:fill="FFFFFF"/>
                <w:lang w:eastAsia="zh-CN"/>
              </w:rPr>
              <w:t>0时</w:t>
            </w:r>
            <w:r>
              <w:rPr>
                <w:rFonts w:hint="eastAsia" w:ascii="仿宋" w:hAnsi="仿宋" w:eastAsia="仿宋" w:cs="仿宋"/>
                <w:color w:val="auto"/>
                <w:sz w:val="24"/>
                <w:highlight w:val="none"/>
                <w:shd w:val="pct10" w:color="auto" w:fill="FFFFFF"/>
              </w:rPr>
              <w:t>；</w:t>
            </w:r>
          </w:p>
          <w:p w14:paraId="73C912E4">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地点：</w:t>
            </w:r>
            <w:r>
              <w:rPr>
                <w:rFonts w:hint="eastAsia" w:ascii="仿宋" w:hAnsi="仿宋" w:eastAsia="仿宋"/>
                <w:color w:val="auto"/>
                <w:sz w:val="24"/>
                <w:highlight w:val="none"/>
              </w:rPr>
              <w:t>湖州市公共资源交易中心（湖州市仁皇山片区金盖山路</w:t>
            </w:r>
            <w:r>
              <w:rPr>
                <w:rFonts w:ascii="仿宋" w:hAnsi="仿宋" w:eastAsia="仿宋"/>
                <w:color w:val="auto"/>
                <w:sz w:val="24"/>
                <w:highlight w:val="none"/>
              </w:rPr>
              <w:t>66</w:t>
            </w:r>
            <w:r>
              <w:rPr>
                <w:rFonts w:hint="eastAsia" w:ascii="仿宋" w:hAnsi="仿宋" w:eastAsia="仿宋"/>
                <w:color w:val="auto"/>
                <w:sz w:val="24"/>
                <w:highlight w:val="none"/>
              </w:rPr>
              <w:t>号</w:t>
            </w:r>
            <w:r>
              <w:rPr>
                <w:rFonts w:ascii="仿宋" w:hAnsi="仿宋" w:eastAsia="仿宋"/>
                <w:color w:val="auto"/>
                <w:sz w:val="24"/>
                <w:highlight w:val="none"/>
              </w:rPr>
              <w:t>2</w:t>
            </w:r>
            <w:r>
              <w:rPr>
                <w:rFonts w:hint="eastAsia" w:ascii="仿宋" w:hAnsi="仿宋" w:eastAsia="仿宋"/>
                <w:color w:val="auto"/>
                <w:sz w:val="24"/>
                <w:highlight w:val="none"/>
              </w:rPr>
              <w:t>号楼二楼开标室，届时详见二楼休息区电子显示屏）</w:t>
            </w:r>
          </w:p>
          <w:p w14:paraId="72C5F24C">
            <w:pPr>
              <w:snapToGrid w:val="0"/>
              <w:spacing w:line="273"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人应当在投标截止时间前完成电子投标文件的传输递交，投标截止时间前可以补充、修改或者撤回电子投标文件。补充或者修改电子投标文件的，应当先行撤回原文件，补充、修改后重新传输递交。投标截止时间止未完成传输的，视为放弃投标资格，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w:t>
            </w:r>
          </w:p>
          <w:p w14:paraId="02342945">
            <w:pPr>
              <w:snapToGrid w:val="0"/>
              <w:spacing w:line="273"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2、数据电子备份投标文件（U 盘）：以 U 盘形式提供的数据电子备份投标文件格式及内容须与政采云平台项目采购-电子交易操作指南中制作、加密并递交的电子投标文件格式及内容一致。递交方式：</w:t>
            </w:r>
          </w:p>
          <w:p w14:paraId="730ACE46">
            <w:pPr>
              <w:snapToGrid w:val="0"/>
              <w:spacing w:line="273"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数据电子备份投标文件（U盘）应通过邮寄快递方式送达（原则上邮寄公司统一采用</w:t>
            </w:r>
            <w:r>
              <w:rPr>
                <w:rFonts w:hint="eastAsia" w:ascii="仿宋" w:hAnsi="仿宋" w:eastAsia="仿宋" w:cs="仿宋"/>
                <w:color w:val="auto"/>
                <w:sz w:val="24"/>
                <w:highlight w:val="none"/>
                <w:lang w:val="en-US" w:eastAsia="zh-CN"/>
              </w:rPr>
              <w:t>顺丰</w:t>
            </w:r>
            <w:r>
              <w:rPr>
                <w:rFonts w:hint="eastAsia" w:ascii="仿宋" w:hAnsi="仿宋" w:eastAsia="仿宋" w:cs="仿宋"/>
                <w:color w:val="auto"/>
                <w:sz w:val="24"/>
                <w:highlight w:val="none"/>
              </w:rPr>
              <w:t>），邮寄地址为：</w:t>
            </w:r>
            <w:r>
              <w:rPr>
                <w:rFonts w:hint="eastAsia" w:ascii="仿宋" w:hAnsi="仿宋" w:eastAsia="仿宋" w:cs="仿宋"/>
                <w:color w:val="auto"/>
                <w:sz w:val="24"/>
                <w:highlight w:val="none"/>
                <w:lang w:eastAsia="zh-CN"/>
              </w:rPr>
              <w:t>浙江新诚信工程咨询有限公司</w:t>
            </w:r>
            <w:r>
              <w:rPr>
                <w:rFonts w:hint="eastAsia" w:ascii="仿宋" w:hAnsi="仿宋" w:eastAsia="仿宋" w:cs="仿宋"/>
                <w:color w:val="auto"/>
                <w:sz w:val="24"/>
                <w:highlight w:val="none"/>
              </w:rPr>
              <w:t>[湖州市太湖路1155号</w:t>
            </w:r>
            <w:r>
              <w:rPr>
                <w:rFonts w:hint="eastAsia" w:ascii="仿宋" w:hAnsi="仿宋" w:eastAsia="仿宋" w:cs="仿宋"/>
                <w:color w:val="auto"/>
                <w:sz w:val="24"/>
                <w:highlight w:val="none"/>
                <w:lang w:val="en-US" w:eastAsia="zh-CN"/>
              </w:rPr>
              <w:t>14楼1402室</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lang w:val="en-US" w:eastAsia="zh-CN"/>
              </w:rPr>
              <w:t>18768247439</w:t>
            </w:r>
            <w:r>
              <w:rPr>
                <w:rFonts w:hint="eastAsia" w:ascii="仿宋" w:hAnsi="仿宋" w:eastAsia="仿宋" w:cs="仿宋"/>
                <w:color w:val="auto"/>
                <w:sz w:val="24"/>
                <w:highlight w:val="none"/>
              </w:rPr>
              <w:t>。邮寄截止时间：投标人应于202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10日</w:t>
            </w:r>
            <w:r>
              <w:rPr>
                <w:rFonts w:hint="eastAsia" w:ascii="仿宋" w:hAnsi="仿宋" w:eastAsia="仿宋" w:cs="仿宋"/>
                <w:color w:val="auto"/>
                <w:sz w:val="24"/>
                <w:highlight w:val="none"/>
              </w:rPr>
              <w:t xml:space="preserve">17:00时前准时送达，逾期不予受理。投标人须留足投标文件邮寄时间,确保数据电子备份投标文件（U盘）于规定的时间前送达指定地点，未按时送达的，均按未提供处理。    </w:t>
            </w:r>
          </w:p>
          <w:p w14:paraId="2A541D17">
            <w:pPr>
              <w:snapToGrid w:val="0"/>
              <w:spacing w:line="273"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注：（1）投标人应权衡利弊考虑是否提供数据电子备份投标文件（U盘），</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及采购代理机构不做强制性要求，若因下一条款（第3条）原因须启用数据电子备份投标文件（U盘）时，而投标人未提供的，视为放弃投标资格，作作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；（2）投标人应对提供的数据电子备份投标文件（U盘）进行加密处理，若需要启用数据电子备份投标文件（U盘）时，由</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或采购代理机构启封并进行解密；（3）若投标人未提供数据电子备份投标文件（U盘），招标公告及招标文件中关于数据电子备份投标文件（U盘）的要求及内容不再适用。</w:t>
            </w:r>
          </w:p>
        </w:tc>
      </w:tr>
      <w:tr w14:paraId="3FE2C4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744" w:type="dxa"/>
            <w:tcBorders>
              <w:top w:val="single" w:color="auto" w:sz="4" w:space="0"/>
              <w:left w:val="single" w:color="auto" w:sz="4" w:space="0"/>
              <w:bottom w:val="single" w:color="auto" w:sz="4" w:space="0"/>
              <w:right w:val="single" w:color="auto" w:sz="4" w:space="0"/>
            </w:tcBorders>
            <w:vAlign w:val="center"/>
          </w:tcPr>
          <w:p w14:paraId="193320ED">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p>
        </w:tc>
        <w:tc>
          <w:tcPr>
            <w:tcW w:w="8984" w:type="dxa"/>
            <w:tcBorders>
              <w:top w:val="single" w:color="auto" w:sz="4" w:space="0"/>
              <w:left w:val="nil"/>
              <w:bottom w:val="single" w:color="auto" w:sz="4" w:space="0"/>
              <w:right w:val="single" w:color="auto" w:sz="4" w:space="0"/>
            </w:tcBorders>
            <w:vAlign w:val="center"/>
          </w:tcPr>
          <w:p w14:paraId="6FCB0F8A">
            <w:pPr>
              <w:autoSpaceDE w:val="0"/>
              <w:autoSpaceDN w:val="0"/>
              <w:snapToGrid w:val="0"/>
              <w:spacing w:line="273" w:lineRule="auto"/>
              <w:textAlignment w:val="bottom"/>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评标办法及评分标准：附后</w:t>
            </w:r>
          </w:p>
        </w:tc>
      </w:tr>
      <w:tr w14:paraId="4B6517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744" w:type="dxa"/>
            <w:tcBorders>
              <w:top w:val="single" w:color="auto" w:sz="4" w:space="0"/>
              <w:left w:val="single" w:color="auto" w:sz="4" w:space="0"/>
              <w:bottom w:val="single" w:color="auto" w:sz="4" w:space="0"/>
              <w:right w:val="single" w:color="auto" w:sz="4" w:space="0"/>
            </w:tcBorders>
            <w:vAlign w:val="center"/>
          </w:tcPr>
          <w:p w14:paraId="2C230F60">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10</w:t>
            </w:r>
          </w:p>
        </w:tc>
        <w:tc>
          <w:tcPr>
            <w:tcW w:w="8984" w:type="dxa"/>
            <w:tcBorders>
              <w:top w:val="single" w:color="auto" w:sz="4" w:space="0"/>
              <w:left w:val="nil"/>
              <w:bottom w:val="single" w:color="auto" w:sz="4" w:space="0"/>
              <w:right w:val="single" w:color="auto" w:sz="4" w:space="0"/>
            </w:tcBorders>
            <w:vAlign w:val="center"/>
          </w:tcPr>
          <w:p w14:paraId="3FB35E89">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中标结果公告：</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依法确定中标后 2 个工作日内，公告发布网址如下：</w:t>
            </w:r>
          </w:p>
          <w:p w14:paraId="19E27930">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浙江政府采购网：http://zfcg.czt.zj.gov.cn/；</w:t>
            </w:r>
            <w:r>
              <w:rPr>
                <w:rFonts w:hint="eastAsia" w:ascii="仿宋" w:hAnsi="仿宋" w:eastAsia="仿宋"/>
                <w:color w:val="auto"/>
                <w:sz w:val="24"/>
                <w:highlight w:val="none"/>
              </w:rPr>
              <w:t>湖州市公共资源交易信息网：http://ggzyjy.huzhou.gov.cn/</w:t>
            </w:r>
          </w:p>
        </w:tc>
      </w:tr>
      <w:tr w14:paraId="17D19D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744" w:type="dxa"/>
            <w:tcBorders>
              <w:top w:val="single" w:color="auto" w:sz="4" w:space="0"/>
              <w:left w:val="single" w:color="auto" w:sz="4" w:space="0"/>
              <w:bottom w:val="single" w:color="auto" w:sz="4" w:space="0"/>
              <w:right w:val="single" w:color="auto" w:sz="4" w:space="0"/>
            </w:tcBorders>
            <w:vAlign w:val="center"/>
          </w:tcPr>
          <w:p w14:paraId="04E943E7">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11</w:t>
            </w:r>
          </w:p>
        </w:tc>
        <w:tc>
          <w:tcPr>
            <w:tcW w:w="8984" w:type="dxa"/>
            <w:tcBorders>
              <w:top w:val="single" w:color="auto" w:sz="4" w:space="0"/>
              <w:left w:val="nil"/>
              <w:bottom w:val="single" w:color="auto" w:sz="4" w:space="0"/>
              <w:right w:val="single" w:color="auto" w:sz="4" w:space="0"/>
            </w:tcBorders>
            <w:vAlign w:val="center"/>
          </w:tcPr>
          <w:p w14:paraId="53A33CB7">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中标通知书：在发布中标结果公告的同时，向中标人发中标通知书。</w:t>
            </w:r>
          </w:p>
        </w:tc>
      </w:tr>
      <w:tr w14:paraId="2A878E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744" w:type="dxa"/>
            <w:tcBorders>
              <w:top w:val="single" w:color="auto" w:sz="4" w:space="0"/>
              <w:left w:val="single" w:color="auto" w:sz="4" w:space="0"/>
              <w:bottom w:val="single" w:color="auto" w:sz="4" w:space="0"/>
              <w:right w:val="single" w:color="auto" w:sz="4" w:space="0"/>
            </w:tcBorders>
            <w:vAlign w:val="center"/>
          </w:tcPr>
          <w:p w14:paraId="2B178F4D">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12</w:t>
            </w:r>
          </w:p>
        </w:tc>
        <w:tc>
          <w:tcPr>
            <w:tcW w:w="8984" w:type="dxa"/>
            <w:tcBorders>
              <w:top w:val="single" w:color="auto" w:sz="4" w:space="0"/>
              <w:left w:val="nil"/>
              <w:bottom w:val="single" w:color="auto" w:sz="4" w:space="0"/>
              <w:right w:val="single" w:color="auto" w:sz="4" w:space="0"/>
            </w:tcBorders>
            <w:vAlign w:val="center"/>
          </w:tcPr>
          <w:p w14:paraId="1E3A8B9C">
            <w:pPr>
              <w:autoSpaceDE w:val="0"/>
              <w:autoSpaceDN w:val="0"/>
              <w:snapToGrid w:val="0"/>
              <w:spacing w:line="273" w:lineRule="auto"/>
              <w:textAlignment w:val="bottom"/>
              <w:rPr>
                <w:rFonts w:hint="eastAsia" w:ascii="仿宋" w:hAnsi="仿宋" w:eastAsia="仿宋" w:cs="仿宋"/>
                <w:color w:val="auto"/>
                <w:sz w:val="24"/>
                <w:highlight w:val="none"/>
              </w:rPr>
            </w:pPr>
            <w:r>
              <w:rPr>
                <w:rFonts w:hint="eastAsia" w:ascii="仿宋" w:hAnsi="仿宋" w:eastAsia="仿宋" w:cs="仿宋"/>
                <w:color w:val="auto"/>
                <w:sz w:val="24"/>
                <w:highlight w:val="none"/>
              </w:rPr>
              <w:t>签订合同时间：中标通知书发出后30日内。</w:t>
            </w:r>
          </w:p>
        </w:tc>
      </w:tr>
      <w:tr w14:paraId="1E0E19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744" w:type="dxa"/>
            <w:tcBorders>
              <w:top w:val="single" w:color="auto" w:sz="4" w:space="0"/>
              <w:left w:val="single" w:color="auto" w:sz="4" w:space="0"/>
              <w:bottom w:val="single" w:color="auto" w:sz="4" w:space="0"/>
              <w:right w:val="single" w:color="auto" w:sz="4" w:space="0"/>
            </w:tcBorders>
            <w:vAlign w:val="center"/>
          </w:tcPr>
          <w:p w14:paraId="686E5303">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13</w:t>
            </w:r>
          </w:p>
        </w:tc>
        <w:tc>
          <w:tcPr>
            <w:tcW w:w="8984" w:type="dxa"/>
            <w:tcBorders>
              <w:top w:val="single" w:color="auto" w:sz="4" w:space="0"/>
              <w:left w:val="nil"/>
              <w:bottom w:val="single" w:color="auto" w:sz="4" w:space="0"/>
              <w:right w:val="single" w:color="auto" w:sz="4" w:space="0"/>
            </w:tcBorders>
            <w:vAlign w:val="center"/>
          </w:tcPr>
          <w:p w14:paraId="408EF2B8">
            <w:pPr>
              <w:spacing w:line="480" w:lineRule="exac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履约保证金：合同金额的1%</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中标人应向采购人交纳履约保证金，履约保证金待合同履行结束后 5个工作日内视履约情况返还（缴纳形式为支票、汇票、本票、保险或者金融机构、担保机构出具的保函等非现金形式）。</w:t>
            </w:r>
          </w:p>
        </w:tc>
      </w:tr>
      <w:tr w14:paraId="5F5536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744" w:type="dxa"/>
            <w:tcBorders>
              <w:top w:val="single" w:color="auto" w:sz="4" w:space="0"/>
              <w:left w:val="single" w:color="auto" w:sz="4" w:space="0"/>
              <w:bottom w:val="single" w:color="auto" w:sz="4" w:space="0"/>
              <w:right w:val="single" w:color="auto" w:sz="4" w:space="0"/>
            </w:tcBorders>
            <w:vAlign w:val="center"/>
          </w:tcPr>
          <w:p w14:paraId="157B5B70">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14</w:t>
            </w:r>
          </w:p>
        </w:tc>
        <w:tc>
          <w:tcPr>
            <w:tcW w:w="8984" w:type="dxa"/>
            <w:tcBorders>
              <w:top w:val="single" w:color="auto" w:sz="4" w:space="0"/>
              <w:left w:val="nil"/>
              <w:bottom w:val="single" w:color="auto" w:sz="4" w:space="0"/>
              <w:right w:val="single" w:color="auto" w:sz="4" w:space="0"/>
            </w:tcBorders>
            <w:vAlign w:val="center"/>
          </w:tcPr>
          <w:p w14:paraId="77D793BE">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投标文件有效期：</w:t>
            </w: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0天</w:t>
            </w:r>
          </w:p>
        </w:tc>
      </w:tr>
      <w:tr w14:paraId="0C8E68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744" w:type="dxa"/>
            <w:tcBorders>
              <w:top w:val="single" w:color="auto" w:sz="4" w:space="0"/>
              <w:left w:val="single" w:color="auto" w:sz="4" w:space="0"/>
              <w:bottom w:val="single" w:color="auto" w:sz="4" w:space="0"/>
              <w:right w:val="single" w:color="auto" w:sz="4" w:space="0"/>
            </w:tcBorders>
            <w:vAlign w:val="center"/>
          </w:tcPr>
          <w:p w14:paraId="6E4F7E7A">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15</w:t>
            </w:r>
          </w:p>
        </w:tc>
        <w:tc>
          <w:tcPr>
            <w:tcW w:w="8984" w:type="dxa"/>
            <w:tcBorders>
              <w:top w:val="single" w:color="auto" w:sz="4" w:space="0"/>
              <w:left w:val="nil"/>
              <w:bottom w:val="single" w:color="auto" w:sz="4" w:space="0"/>
              <w:right w:val="single" w:color="auto" w:sz="4" w:space="0"/>
            </w:tcBorders>
            <w:vAlign w:val="center"/>
          </w:tcPr>
          <w:p w14:paraId="378F613B">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解释：本招标文件的解释权属于</w:t>
            </w:r>
            <w:r>
              <w:rPr>
                <w:rFonts w:hint="eastAsia" w:ascii="仿宋" w:hAnsi="仿宋" w:eastAsia="仿宋" w:cs="仿宋"/>
                <w:color w:val="auto"/>
                <w:sz w:val="24"/>
                <w:highlight w:val="none"/>
                <w:lang w:eastAsia="zh-CN"/>
              </w:rPr>
              <w:t>招标人</w:t>
            </w:r>
            <w:r>
              <w:rPr>
                <w:rFonts w:hint="eastAsia" w:ascii="仿宋" w:hAnsi="仿宋" w:eastAsia="仿宋" w:cs="仿宋"/>
                <w:color w:val="auto"/>
                <w:sz w:val="24"/>
                <w:highlight w:val="none"/>
              </w:rPr>
              <w:t>。</w:t>
            </w:r>
          </w:p>
        </w:tc>
      </w:tr>
      <w:tr w14:paraId="4B501F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744" w:type="dxa"/>
            <w:tcBorders>
              <w:top w:val="single" w:color="auto" w:sz="4" w:space="0"/>
              <w:left w:val="single" w:color="auto" w:sz="4" w:space="0"/>
              <w:bottom w:val="single" w:color="auto" w:sz="4" w:space="0"/>
              <w:right w:val="single" w:color="auto" w:sz="4" w:space="0"/>
            </w:tcBorders>
            <w:vAlign w:val="center"/>
          </w:tcPr>
          <w:p w14:paraId="1E2FD13A">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16</w:t>
            </w:r>
          </w:p>
        </w:tc>
        <w:tc>
          <w:tcPr>
            <w:tcW w:w="8984" w:type="dxa"/>
            <w:tcBorders>
              <w:top w:val="single" w:color="auto" w:sz="4" w:space="0"/>
              <w:left w:val="nil"/>
              <w:bottom w:val="single" w:color="auto" w:sz="4" w:space="0"/>
              <w:right w:val="single" w:color="auto" w:sz="4" w:space="0"/>
            </w:tcBorders>
            <w:vAlign w:val="center"/>
          </w:tcPr>
          <w:p w14:paraId="078A8A3E">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在确定中标人后，签订合同前，中标人须提供二份完整的纸质投标文件给</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，纸质投标文件须与电子投标文件格式及内容一致。</w:t>
            </w:r>
          </w:p>
        </w:tc>
      </w:tr>
      <w:tr w14:paraId="008778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744" w:type="dxa"/>
            <w:tcBorders>
              <w:top w:val="single" w:color="auto" w:sz="4" w:space="0"/>
              <w:left w:val="single" w:color="auto" w:sz="4" w:space="0"/>
              <w:bottom w:val="single" w:color="auto" w:sz="4" w:space="0"/>
              <w:right w:val="single" w:color="auto" w:sz="4" w:space="0"/>
            </w:tcBorders>
            <w:vAlign w:val="center"/>
          </w:tcPr>
          <w:p w14:paraId="78F2663C">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17</w:t>
            </w:r>
          </w:p>
        </w:tc>
        <w:tc>
          <w:tcPr>
            <w:tcW w:w="8984" w:type="dxa"/>
            <w:tcBorders>
              <w:top w:val="single" w:color="auto" w:sz="4" w:space="0"/>
              <w:left w:val="nil"/>
              <w:bottom w:val="single" w:color="auto" w:sz="4" w:space="0"/>
              <w:right w:val="single" w:color="auto" w:sz="4" w:space="0"/>
            </w:tcBorders>
            <w:vAlign w:val="center"/>
          </w:tcPr>
          <w:p w14:paraId="41841738">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特别说明：政采云公司如对电子化开标及评审程序有调整的，应按调整的程序操作。</w:t>
            </w:r>
          </w:p>
        </w:tc>
      </w:tr>
    </w:tbl>
    <w:p w14:paraId="58EAA98D">
      <w:pPr>
        <w:pStyle w:val="11"/>
        <w:outlineLvl w:val="9"/>
        <w:rPr>
          <w:rFonts w:hint="eastAsia" w:ascii="仿宋" w:hAnsi="仿宋" w:eastAsia="仿宋" w:cs="仿宋"/>
          <w:b/>
          <w:color w:val="auto"/>
          <w:sz w:val="24"/>
          <w:szCs w:val="24"/>
          <w:highlight w:val="none"/>
        </w:rPr>
      </w:pPr>
    </w:p>
    <w:p w14:paraId="27BB02FE">
      <w:pPr>
        <w:pStyle w:val="11"/>
        <w:outlineLvl w:val="9"/>
        <w:rPr>
          <w:rFonts w:hint="eastAsia" w:ascii="仿宋" w:hAnsi="仿宋" w:eastAsia="仿宋" w:cs="仿宋"/>
          <w:b/>
          <w:color w:val="auto"/>
          <w:sz w:val="24"/>
          <w:szCs w:val="24"/>
          <w:highlight w:val="none"/>
        </w:rPr>
      </w:pPr>
    </w:p>
    <w:p w14:paraId="3F4F193E">
      <w:pPr>
        <w:pStyle w:val="11"/>
        <w:outlineLvl w:val="1"/>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一、总 则 </w:t>
      </w:r>
    </w:p>
    <w:p w14:paraId="1DC51D74">
      <w:pPr>
        <w:pStyle w:val="1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（一）适用范围 </w:t>
      </w:r>
    </w:p>
    <w:p w14:paraId="12214A59">
      <w:pPr>
        <w:spacing w:line="4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本招标文件适用于</w:t>
      </w:r>
      <w:r>
        <w:rPr>
          <w:rFonts w:hint="eastAsia" w:ascii="仿宋" w:hAnsi="仿宋" w:eastAsia="仿宋" w:cs="仿宋"/>
          <w:color w:val="auto"/>
          <w:sz w:val="24"/>
          <w:highlight w:val="none"/>
          <w:u w:val="single"/>
          <w:lang w:val="en-US" w:eastAsia="zh-CN"/>
        </w:rPr>
        <w:t>湖州南太湖新区公用事业管理中心湖州南太湖新区道路交通安全隐患综合治理服务项目（2025-2026年度）</w:t>
      </w:r>
      <w:r>
        <w:rPr>
          <w:rFonts w:hint="eastAsia" w:ascii="仿宋" w:hAnsi="仿宋" w:eastAsia="仿宋" w:cs="仿宋"/>
          <w:color w:val="auto"/>
          <w:sz w:val="24"/>
          <w:highlight w:val="none"/>
        </w:rPr>
        <w:t xml:space="preserve">的招标、投标、评标、定标、验收、合同履约、付款等行为（法律、法规另有规定的，从其规定）。 </w:t>
      </w:r>
    </w:p>
    <w:p w14:paraId="0C8F9A58">
      <w:pPr>
        <w:pStyle w:val="11"/>
        <w:spacing w:line="460" w:lineRule="exact"/>
        <w:ind w:firstLine="480" w:firstLineChars="200"/>
        <w:rPr>
          <w:rFonts w:hint="eastAsia" w:ascii="仿宋" w:hAnsi="仿宋" w:eastAsia="仿宋" w:cs="仿宋"/>
          <w:color w:val="auto"/>
          <w:highlight w:val="none"/>
          <w:shd w:val="pct10" w:color="auto" w:fill="FFFFFF"/>
        </w:rPr>
      </w:pPr>
      <w:r>
        <w:rPr>
          <w:rFonts w:hint="eastAsia" w:ascii="仿宋" w:hAnsi="仿宋" w:eastAsia="仿宋" w:cs="仿宋"/>
          <w:color w:val="auto"/>
          <w:highlight w:val="none"/>
        </w:rPr>
        <w:t>（二）采购预算：</w:t>
      </w:r>
      <w:r>
        <w:rPr>
          <w:rFonts w:hint="eastAsia" w:ascii="仿宋" w:hAnsi="仿宋" w:eastAsia="仿宋" w:cs="仿宋"/>
          <w:color w:val="auto"/>
          <w:highlight w:val="none"/>
          <w:lang w:val="en-US" w:eastAsia="zh-CN"/>
        </w:rPr>
        <w:t>760万</w:t>
      </w:r>
      <w:r>
        <w:rPr>
          <w:rFonts w:hint="eastAsia" w:ascii="仿宋" w:hAnsi="仿宋" w:eastAsia="仿宋" w:cs="仿宋"/>
          <w:color w:val="auto"/>
          <w:highlight w:val="none"/>
        </w:rPr>
        <w:t>元</w:t>
      </w:r>
      <w:r>
        <w:rPr>
          <w:rFonts w:hint="eastAsia" w:ascii="仿宋" w:hAnsi="仿宋" w:eastAsia="仿宋" w:cs="仿宋"/>
          <w:color w:val="auto"/>
          <w:sz w:val="24"/>
          <w:highlight w:val="none"/>
          <w:lang w:val="en-US" w:eastAsia="zh-CN"/>
        </w:rPr>
        <w:t>（</w:t>
      </w:r>
      <w:r>
        <w:rPr>
          <w:rFonts w:hint="eastAsia" w:ascii="仿宋" w:hAnsi="仿宋" w:eastAsia="仿宋" w:cs="仿宋"/>
          <w:b w:val="0"/>
          <w:bCs/>
          <w:color w:val="auto"/>
          <w:sz w:val="24"/>
          <w:highlight w:val="none"/>
          <w:lang w:val="en-US" w:eastAsia="zh-CN"/>
        </w:rPr>
        <w:t xml:space="preserve">其中标项一：360万元  标项二：400万元 </w:t>
      </w:r>
      <w:r>
        <w:rPr>
          <w:rFonts w:hint="eastAsia" w:ascii="仿宋" w:hAnsi="仿宋" w:eastAsia="仿宋" w:cs="仿宋"/>
          <w:color w:val="auto"/>
          <w:sz w:val="24"/>
          <w:highlight w:val="none"/>
          <w:lang w:val="en-US" w:eastAsia="zh-CN"/>
        </w:rPr>
        <w:t>）</w:t>
      </w:r>
      <w:r>
        <w:rPr>
          <w:rFonts w:hint="eastAsia" w:ascii="仿宋" w:hAnsi="仿宋" w:eastAsia="仿宋" w:cs="仿宋"/>
          <w:color w:val="auto"/>
          <w:highlight w:val="none"/>
        </w:rPr>
        <w:t>。</w:t>
      </w:r>
    </w:p>
    <w:p w14:paraId="43F8CF23">
      <w:pPr>
        <w:pStyle w:val="1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（三）定义 </w:t>
      </w:r>
    </w:p>
    <w:p w14:paraId="5ED83D45">
      <w:pPr>
        <w:pStyle w:val="1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 采购人系指组织本次项目采购的</w:t>
      </w:r>
      <w:r>
        <w:rPr>
          <w:rFonts w:hint="eastAsia" w:ascii="仿宋" w:hAnsi="仿宋" w:eastAsia="仿宋" w:cs="仿宋"/>
          <w:b/>
          <w:bCs/>
          <w:color w:val="auto"/>
          <w:sz w:val="24"/>
          <w:highlight w:val="none"/>
          <w:u w:val="single"/>
          <w:lang w:eastAsia="zh-CN"/>
        </w:rPr>
        <w:t xml:space="preserve">湖州南太湖新区公用事业管理中心 </w:t>
      </w:r>
      <w:r>
        <w:rPr>
          <w:rFonts w:hint="eastAsia" w:ascii="仿宋" w:hAnsi="仿宋" w:eastAsia="仿宋" w:cs="仿宋"/>
          <w:color w:val="auto"/>
          <w:highlight w:val="none"/>
        </w:rPr>
        <w:t>；采购代理机构系指采购人授权委托代理本项目招标程序的</w:t>
      </w:r>
      <w:r>
        <w:rPr>
          <w:rFonts w:hint="eastAsia" w:ascii="仿宋" w:hAnsi="仿宋" w:eastAsia="仿宋" w:cs="仿宋"/>
          <w:b/>
          <w:color w:val="auto"/>
          <w:highlight w:val="none"/>
          <w:u w:val="single"/>
          <w:lang w:eastAsia="zh-CN"/>
        </w:rPr>
        <w:t>浙江新诚信工程咨询有限公司</w:t>
      </w:r>
      <w:r>
        <w:rPr>
          <w:rFonts w:hint="eastAsia" w:ascii="仿宋" w:hAnsi="仿宋" w:eastAsia="仿宋" w:cs="仿宋"/>
          <w:color w:val="auto"/>
          <w:highlight w:val="none"/>
        </w:rPr>
        <w:t xml:space="preserve">。 </w:t>
      </w:r>
    </w:p>
    <w:p w14:paraId="61767A45">
      <w:pPr>
        <w:pStyle w:val="1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2.“投标人”指向</w:t>
      </w:r>
      <w:r>
        <w:rPr>
          <w:rFonts w:hint="eastAsia" w:ascii="仿宋" w:hAnsi="仿宋" w:eastAsia="仿宋" w:cs="仿宋"/>
          <w:color w:val="auto"/>
          <w:highlight w:val="none"/>
          <w:lang w:eastAsia="zh-CN"/>
        </w:rPr>
        <w:t>采购人</w:t>
      </w:r>
      <w:r>
        <w:rPr>
          <w:rFonts w:hint="eastAsia" w:ascii="仿宋" w:hAnsi="仿宋" w:eastAsia="仿宋" w:cs="仿宋"/>
          <w:color w:val="auto"/>
          <w:highlight w:val="none"/>
        </w:rPr>
        <w:t xml:space="preserve">提交投标文件的单位。 </w:t>
      </w:r>
    </w:p>
    <w:p w14:paraId="0BC69454">
      <w:pPr>
        <w:pStyle w:val="1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 “产品”系指供方按招标文件规定，须向</w:t>
      </w:r>
      <w:r>
        <w:rPr>
          <w:rFonts w:hint="eastAsia" w:ascii="仿宋" w:hAnsi="仿宋" w:eastAsia="仿宋" w:cs="仿宋"/>
          <w:color w:val="auto"/>
          <w:highlight w:val="none"/>
          <w:lang w:eastAsia="zh-CN"/>
        </w:rPr>
        <w:t>采购人</w:t>
      </w:r>
      <w:r>
        <w:rPr>
          <w:rFonts w:hint="eastAsia" w:ascii="仿宋" w:hAnsi="仿宋" w:eastAsia="仿宋" w:cs="仿宋"/>
          <w:color w:val="auto"/>
          <w:highlight w:val="none"/>
        </w:rPr>
        <w:t>提供的一切产品、保险、税金、备品备件、工具、手册及其它有关技术资料和材料。</w:t>
      </w:r>
    </w:p>
    <w:p w14:paraId="0C2CFDCA">
      <w:pPr>
        <w:pStyle w:val="11"/>
        <w:spacing w:line="460" w:lineRule="exact"/>
        <w:ind w:firstLine="480" w:firstLineChars="200"/>
        <w:rPr>
          <w:rFonts w:hint="eastAsia" w:ascii="仿宋" w:hAnsi="仿宋" w:eastAsia="仿宋" w:cs="仿宋"/>
          <w:color w:val="auto"/>
          <w:szCs w:val="20"/>
          <w:highlight w:val="none"/>
        </w:rPr>
      </w:pPr>
      <w:r>
        <w:rPr>
          <w:rFonts w:hint="eastAsia" w:ascii="仿宋" w:hAnsi="仿宋" w:eastAsia="仿宋" w:cs="仿宋"/>
          <w:color w:val="auto"/>
          <w:highlight w:val="none"/>
        </w:rPr>
        <w:t>4.“服务”系指招标文件规定投标人须承担的安装、调试、技术协助、校准、培训、技术指导以及其他类似的义务。</w:t>
      </w:r>
    </w:p>
    <w:p w14:paraId="48CCF206">
      <w:pPr>
        <w:pStyle w:val="1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5.“项目”系指投标人按招标文件规定向</w:t>
      </w:r>
      <w:r>
        <w:rPr>
          <w:rFonts w:hint="eastAsia" w:ascii="仿宋" w:hAnsi="仿宋" w:eastAsia="仿宋" w:cs="仿宋"/>
          <w:color w:val="auto"/>
          <w:highlight w:val="none"/>
          <w:lang w:eastAsia="zh-CN"/>
        </w:rPr>
        <w:t>采购人</w:t>
      </w:r>
      <w:r>
        <w:rPr>
          <w:rFonts w:hint="eastAsia" w:ascii="仿宋" w:hAnsi="仿宋" w:eastAsia="仿宋" w:cs="仿宋"/>
          <w:color w:val="auto"/>
          <w:highlight w:val="none"/>
        </w:rPr>
        <w:t xml:space="preserve">提供的服务。 </w:t>
      </w:r>
    </w:p>
    <w:p w14:paraId="67A61AC2">
      <w:pPr>
        <w:pStyle w:val="1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6.“书面形式”包括信函、传真、电报等。 </w:t>
      </w:r>
    </w:p>
    <w:p w14:paraId="0935FAA2">
      <w:pPr>
        <w:pStyle w:val="1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7.“▲”系指实质性要求条款。 </w:t>
      </w:r>
    </w:p>
    <w:p w14:paraId="4C8C54E5">
      <w:pPr>
        <w:pStyle w:val="1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（四）采购方式 </w:t>
      </w:r>
    </w:p>
    <w:p w14:paraId="3711BE01">
      <w:pPr>
        <w:pStyle w:val="1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本次招标采用公开招标方式进行。 </w:t>
      </w:r>
    </w:p>
    <w:p w14:paraId="01F7B303">
      <w:pPr>
        <w:pStyle w:val="1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（五）投标费用</w:t>
      </w:r>
    </w:p>
    <w:p w14:paraId="5B972495">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1.</w:t>
      </w:r>
      <w:r>
        <w:rPr>
          <w:rFonts w:hint="eastAsia" w:ascii="仿宋" w:hAnsi="仿宋" w:eastAsia="仿宋" w:cs="仿宋"/>
          <w:color w:val="auto"/>
          <w:kern w:val="0"/>
          <w:sz w:val="24"/>
          <w:highlight w:val="none"/>
        </w:rPr>
        <w:t>投标人应自行承担投标过程中的所有相关费用，不论中标与否，</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在任何情况下不承担有关费用。</w:t>
      </w:r>
    </w:p>
    <w:p w14:paraId="3FF5F83D">
      <w:pPr>
        <w:spacing w:line="500" w:lineRule="exact"/>
        <w:ind w:firstLine="480" w:firstLineChars="200"/>
        <w:jc w:val="left"/>
        <w:rPr>
          <w:rFonts w:hint="eastAsia"/>
          <w:color w:val="auto"/>
          <w:highlight w:val="none"/>
        </w:rPr>
      </w:pPr>
      <w:r>
        <w:rPr>
          <w:rFonts w:hint="eastAsia" w:ascii="仿宋" w:hAnsi="仿宋" w:eastAsia="仿宋"/>
          <w:color w:val="auto"/>
          <w:kern w:val="0"/>
          <w:sz w:val="24"/>
          <w:highlight w:val="none"/>
        </w:rPr>
        <w:t>2. 本项目代理服务费由中标人在中标后、领取中标通知书时支付给采购代理机构，该费用请投标人自行考虑计入投标报价中。</w:t>
      </w:r>
    </w:p>
    <w:p w14:paraId="5E9E177A">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（六）联合体投标</w:t>
      </w:r>
    </w:p>
    <w:p w14:paraId="3FAD3CD5">
      <w:pPr>
        <w:spacing w:line="500" w:lineRule="exact"/>
        <w:ind w:firstLine="480" w:firstLineChars="200"/>
        <w:jc w:val="left"/>
        <w:rPr>
          <w:rFonts w:hint="eastAsia" w:ascii="仿宋" w:hAnsi="仿宋" w:eastAsia="仿宋" w:cs="Times New Roman"/>
          <w:color w:val="auto"/>
          <w:kern w:val="0"/>
          <w:sz w:val="24"/>
          <w:highlight w:val="none"/>
        </w:rPr>
      </w:pPr>
      <w:r>
        <w:rPr>
          <w:rFonts w:hint="eastAsia" w:ascii="仿宋" w:hAnsi="仿宋" w:eastAsia="仿宋" w:cs="Times New Roman"/>
          <w:color w:val="auto"/>
          <w:kern w:val="0"/>
          <w:sz w:val="24"/>
          <w:highlight w:val="none"/>
          <w:lang w:val="en-US" w:eastAsia="zh-CN"/>
        </w:rPr>
        <w:t>1.</w:t>
      </w:r>
      <w:r>
        <w:rPr>
          <w:rFonts w:hint="eastAsia" w:ascii="仿宋" w:hAnsi="仿宋" w:eastAsia="仿宋" w:cs="Times New Roman"/>
          <w:color w:val="auto"/>
          <w:kern w:val="0"/>
          <w:sz w:val="24"/>
          <w:highlight w:val="none"/>
        </w:rPr>
        <w:t>本项目接受联合体投标。</w:t>
      </w:r>
    </w:p>
    <w:p w14:paraId="0EAD3C6C">
      <w:pPr>
        <w:spacing w:line="500" w:lineRule="exact"/>
        <w:ind w:firstLine="480" w:firstLineChars="200"/>
        <w:jc w:val="left"/>
        <w:rPr>
          <w:rFonts w:hint="eastAsia" w:ascii="仿宋" w:hAnsi="仿宋" w:eastAsia="仿宋" w:cs="Times New Roman"/>
          <w:color w:val="auto"/>
          <w:kern w:val="0"/>
          <w:sz w:val="24"/>
          <w:highlight w:val="none"/>
        </w:rPr>
      </w:pPr>
      <w:r>
        <w:rPr>
          <w:rFonts w:hint="eastAsia" w:ascii="仿宋" w:hAnsi="仿宋" w:eastAsia="仿宋" w:cs="Times New Roman"/>
          <w:color w:val="auto"/>
          <w:kern w:val="0"/>
          <w:sz w:val="24"/>
          <w:highlight w:val="none"/>
        </w:rPr>
        <w:t>2.由两个投标人组成一个联合体以一个投标人身份共同投标时，应符合下列要求：</w:t>
      </w:r>
    </w:p>
    <w:p w14:paraId="30FD78EA">
      <w:pPr>
        <w:spacing w:line="500" w:lineRule="exact"/>
        <w:ind w:firstLine="480" w:firstLineChars="200"/>
        <w:jc w:val="left"/>
        <w:rPr>
          <w:rFonts w:hint="eastAsia" w:ascii="仿宋" w:hAnsi="仿宋" w:eastAsia="仿宋" w:cs="Times New Roman"/>
          <w:color w:val="auto"/>
          <w:kern w:val="0"/>
          <w:sz w:val="24"/>
          <w:highlight w:val="none"/>
        </w:rPr>
      </w:pPr>
      <w:r>
        <w:rPr>
          <w:rFonts w:hint="eastAsia" w:ascii="仿宋" w:hAnsi="仿宋" w:eastAsia="仿宋" w:cs="Times New Roman"/>
          <w:color w:val="auto"/>
          <w:kern w:val="0"/>
          <w:sz w:val="24"/>
          <w:highlight w:val="none"/>
        </w:rPr>
        <w:t>1）投标人的投标文件及中标后签署的合同对联合体各方均具有法律约束力；</w:t>
      </w:r>
    </w:p>
    <w:p w14:paraId="25446539">
      <w:pPr>
        <w:spacing w:line="500" w:lineRule="exact"/>
        <w:ind w:firstLine="480" w:firstLineChars="200"/>
        <w:jc w:val="left"/>
        <w:rPr>
          <w:rFonts w:hint="eastAsia" w:ascii="仿宋" w:hAnsi="仿宋" w:eastAsia="仿宋" w:cs="Times New Roman"/>
          <w:color w:val="auto"/>
          <w:kern w:val="0"/>
          <w:sz w:val="24"/>
          <w:highlight w:val="none"/>
        </w:rPr>
      </w:pPr>
      <w:r>
        <w:rPr>
          <w:rFonts w:hint="eastAsia" w:ascii="仿宋" w:hAnsi="仿宋" w:eastAsia="仿宋" w:cs="Times New Roman"/>
          <w:color w:val="auto"/>
          <w:kern w:val="0"/>
          <w:sz w:val="24"/>
          <w:highlight w:val="none"/>
        </w:rPr>
        <w:t>2）联合体各方应签订共同投标协议，明确约定各方拟承担的工作和责任，并将该共同投标协议随投标文件一并提交采购人；</w:t>
      </w:r>
    </w:p>
    <w:p w14:paraId="1A8A86F2">
      <w:pPr>
        <w:spacing w:line="500" w:lineRule="exact"/>
        <w:ind w:firstLine="480" w:firstLineChars="200"/>
        <w:jc w:val="left"/>
        <w:rPr>
          <w:rFonts w:hint="eastAsia" w:ascii="仿宋" w:hAnsi="仿宋" w:eastAsia="仿宋" w:cs="Times New Roman"/>
          <w:color w:val="auto"/>
          <w:kern w:val="0"/>
          <w:sz w:val="24"/>
          <w:highlight w:val="none"/>
        </w:rPr>
      </w:pPr>
      <w:r>
        <w:rPr>
          <w:rFonts w:hint="eastAsia" w:ascii="仿宋" w:hAnsi="仿宋" w:eastAsia="仿宋" w:cs="Times New Roman"/>
          <w:color w:val="auto"/>
          <w:kern w:val="0"/>
          <w:sz w:val="24"/>
          <w:highlight w:val="none"/>
        </w:rPr>
        <w:t>3）联合体中标后，联合体各方应当共同与采购人签订合同，为履行合同向采购人承担连带责任；</w:t>
      </w:r>
    </w:p>
    <w:p w14:paraId="1A8BFE24">
      <w:pPr>
        <w:spacing w:line="500" w:lineRule="exact"/>
        <w:ind w:firstLine="480" w:firstLineChars="200"/>
        <w:jc w:val="left"/>
        <w:rPr>
          <w:rFonts w:hint="eastAsia" w:ascii="仿宋" w:hAnsi="仿宋" w:eastAsia="仿宋" w:cs="Times New Roman"/>
          <w:color w:val="auto"/>
          <w:kern w:val="0"/>
          <w:sz w:val="24"/>
          <w:highlight w:val="none"/>
        </w:rPr>
      </w:pPr>
      <w:r>
        <w:rPr>
          <w:rFonts w:hint="eastAsia" w:ascii="仿宋" w:hAnsi="仿宋" w:eastAsia="仿宋" w:cs="Times New Roman"/>
          <w:color w:val="auto"/>
          <w:kern w:val="0"/>
          <w:sz w:val="24"/>
          <w:highlight w:val="none"/>
        </w:rPr>
        <w:t>4）联合体的各方应共同推荐一名联合体主办人，由联合体各方各提交一份授权书，证明其主办人资格，该授权书作为投标文件的组成部分一并提交采购人；</w:t>
      </w:r>
    </w:p>
    <w:p w14:paraId="0A5A5271">
      <w:pPr>
        <w:spacing w:line="500" w:lineRule="exact"/>
        <w:ind w:firstLine="480" w:firstLineChars="200"/>
        <w:jc w:val="left"/>
        <w:rPr>
          <w:rFonts w:hint="eastAsia"/>
          <w:color w:val="auto"/>
          <w:highlight w:val="none"/>
        </w:rPr>
      </w:pPr>
      <w:r>
        <w:rPr>
          <w:rFonts w:hint="eastAsia" w:ascii="仿宋" w:hAnsi="仿宋" w:eastAsia="仿宋" w:cs="Times New Roman"/>
          <w:color w:val="auto"/>
          <w:kern w:val="0"/>
          <w:sz w:val="24"/>
          <w:highlight w:val="none"/>
        </w:rPr>
        <w:t>5）除非另有规定或说明，本须知中“投标人”一词亦指联合体各方。</w:t>
      </w:r>
    </w:p>
    <w:p w14:paraId="041EDD8F">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（七）转包与分包</w:t>
      </w:r>
    </w:p>
    <w:p w14:paraId="50D63120">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本项目不允许转包</w:t>
      </w:r>
      <w:r>
        <w:rPr>
          <w:rFonts w:hint="eastAsia" w:ascii="仿宋" w:hAnsi="仿宋" w:eastAsia="仿宋" w:cs="仿宋"/>
          <w:color w:val="auto"/>
          <w:kern w:val="0"/>
          <w:sz w:val="24"/>
          <w:highlight w:val="none"/>
          <w:lang w:eastAsia="zh-CN"/>
        </w:rPr>
        <w:t>。非主体、非关键性工作允许分包。</w:t>
      </w:r>
    </w:p>
    <w:p w14:paraId="12AE7664">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特别说明：</w:t>
      </w:r>
    </w:p>
    <w:p w14:paraId="77CD8BC7">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1.投标人投标所使用的资格、信誉、荣誉、业绩与企业认证必须为本法人所拥有。投标人投标所使用的采购项目实施人员必须为本法人员工。</w:t>
      </w:r>
    </w:p>
    <w:p w14:paraId="4E41F5A2">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2.投标人应仔细阅读招标文件的所有内容，按照招标文件的要求提交投标文件，并对所提供的全部资料的真实性承担法律责任。</w:t>
      </w:r>
    </w:p>
    <w:p w14:paraId="6572AFEE">
      <w:pPr>
        <w:widowControl/>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3.投标人在投标活动中提供任何虚假材料,其投标无效，并报监管部门查处；中标后发现的,中标人须依照《中华人民共和国消费者权益保护法》第49条之规定双倍赔偿</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，且民事赔偿并不免除违法投标人的行政与刑事责任。</w:t>
      </w:r>
    </w:p>
    <w:p w14:paraId="398BAC2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（八）质疑和投诉</w:t>
      </w:r>
    </w:p>
    <w:p w14:paraId="7542288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根据《中华人民共和国财政部令第 94号-政府采购质疑和投诉办法》第二章规定。</w:t>
      </w:r>
    </w:p>
    <w:p w14:paraId="5B1EE61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1.投标人认为招标文件、采购过程、中标或者中标结果使自己的权益受到损害的，可以在知道或者应知其权益受到损害之日起 7 个工作日内，以书面形式向</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、采购代理机构提出质疑。招标文件可以要求投标人在法定质疑期内一次性提出针对同一采购程序环节的质疑。</w:t>
      </w:r>
    </w:p>
    <w:p w14:paraId="6402024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2.提出质疑的投标人（以下简称质疑</w:t>
      </w:r>
      <w:r>
        <w:rPr>
          <w:rFonts w:hint="eastAsia" w:ascii="仿宋" w:hAnsi="仿宋" w:eastAsia="仿宋" w:cs="仿宋"/>
          <w:color w:val="auto"/>
          <w:kern w:val="0"/>
          <w:sz w:val="24"/>
          <w:highlight w:val="none"/>
          <w:lang w:eastAsia="zh-CN"/>
        </w:rPr>
        <w:t>投标人</w:t>
      </w:r>
      <w:r>
        <w:rPr>
          <w:rFonts w:hint="eastAsia" w:ascii="仿宋" w:hAnsi="仿宋" w:eastAsia="仿宋" w:cs="仿宋"/>
          <w:color w:val="auto"/>
          <w:kern w:val="0"/>
          <w:sz w:val="24"/>
          <w:highlight w:val="none"/>
        </w:rPr>
        <w:t>）应当是参与所质疑项目采购活动的投标人。潜在投标人已依法获取（依法获取指：依法获取指：投标人按本项目招标公告要求在政采云系统上获取并报名成功）其可质疑的招标文件的，可以对该文件提出质疑。未按照规定方式依法获取招标文件的，不得对招标文件提起质疑投诉。对招标文件提出质疑的，应当在获取招标文件或者招标文件公告期限届满之日起 7 个工作日内提出。</w:t>
      </w:r>
    </w:p>
    <w:p w14:paraId="08BB5BB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3. 投标人提出质疑应当提交质疑函和必要的证明材料。质疑函应当包括下列内容: </w:t>
      </w:r>
    </w:p>
    <w:p w14:paraId="41D0751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（1）投标人的姓名或者名称、地址、邮编、联系人及联系电话；</w:t>
      </w:r>
    </w:p>
    <w:p w14:paraId="5991D93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（2）质疑项目的名称、编号；</w:t>
      </w:r>
    </w:p>
    <w:p w14:paraId="5D554B0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（3）具体、明确的质疑事项和与质疑事项相关的请求；</w:t>
      </w:r>
    </w:p>
    <w:p w14:paraId="074C72A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（4）事实依据；</w:t>
      </w:r>
    </w:p>
    <w:p w14:paraId="69CCA6E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（5）必要的法律依据；</w:t>
      </w:r>
    </w:p>
    <w:p w14:paraId="64C40E6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（6）提出质疑的日期。</w:t>
      </w:r>
    </w:p>
    <w:p w14:paraId="0414BDB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投标人为自然人的，应当由本人签字；投标人为法人或者其他组织的，应当由法定代表人、主要负责人，或者其</w:t>
      </w:r>
      <w:r>
        <w:rPr>
          <w:rFonts w:hint="eastAsia" w:ascii="仿宋" w:hAnsi="仿宋" w:eastAsia="仿宋" w:cs="仿宋"/>
          <w:color w:val="auto"/>
          <w:kern w:val="0"/>
          <w:sz w:val="24"/>
          <w:highlight w:val="none"/>
          <w:lang w:eastAsia="zh-CN"/>
        </w:rPr>
        <w:t>授权代理人</w:t>
      </w:r>
      <w:r>
        <w:rPr>
          <w:rFonts w:hint="eastAsia" w:ascii="仿宋" w:hAnsi="仿宋" w:eastAsia="仿宋" w:cs="仿宋"/>
          <w:color w:val="auto"/>
          <w:kern w:val="0"/>
          <w:sz w:val="24"/>
          <w:highlight w:val="none"/>
        </w:rPr>
        <w:t>签字或者盖章，并加盖公章。</w:t>
      </w:r>
    </w:p>
    <w:p w14:paraId="51AE4BB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、采购代理机构不得拒收质疑</w:t>
      </w:r>
      <w:r>
        <w:rPr>
          <w:rFonts w:hint="eastAsia" w:ascii="仿宋" w:hAnsi="仿宋" w:eastAsia="仿宋" w:cs="仿宋"/>
          <w:color w:val="auto"/>
          <w:kern w:val="0"/>
          <w:sz w:val="24"/>
          <w:highlight w:val="none"/>
          <w:lang w:eastAsia="zh-CN"/>
        </w:rPr>
        <w:t>投标人</w:t>
      </w:r>
      <w:r>
        <w:rPr>
          <w:rFonts w:hint="eastAsia" w:ascii="仿宋" w:hAnsi="仿宋" w:eastAsia="仿宋" w:cs="仿宋"/>
          <w:color w:val="auto"/>
          <w:kern w:val="0"/>
          <w:sz w:val="24"/>
          <w:highlight w:val="none"/>
        </w:rPr>
        <w:t>在法定质疑期内发出的质疑函，应当在收到质疑函后 7 个工作日内作出答复，并以书面形式通知质疑投标人和其他有关投标人。</w:t>
      </w:r>
    </w:p>
    <w:p w14:paraId="31BA349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 投标人对评审过程、中标或者中标结果提出质疑的，</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、采购代理机构可以组织原评标委员会、竞争性谈判小组、询价小组或者竞争性磋商小组协助答复质疑。</w:t>
      </w:r>
    </w:p>
    <w:p w14:paraId="2455C25D">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6.质疑答复应当包括下列内容：</w:t>
      </w:r>
    </w:p>
    <w:p w14:paraId="3A0AEFF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（1）质疑投标人的姓名或者名称；</w:t>
      </w:r>
    </w:p>
    <w:p w14:paraId="364517D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（2）收到质疑函的日期、质疑项目名称及编号；</w:t>
      </w:r>
    </w:p>
    <w:p w14:paraId="3C45B4B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（3）质疑事项、质疑答复的具体内容、事实依据和法律依据；</w:t>
      </w:r>
    </w:p>
    <w:p w14:paraId="353D48A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（4）告知质疑</w:t>
      </w:r>
      <w:r>
        <w:rPr>
          <w:rFonts w:hint="eastAsia" w:ascii="仿宋" w:hAnsi="仿宋" w:eastAsia="仿宋" w:cs="仿宋"/>
          <w:color w:val="auto"/>
          <w:kern w:val="0"/>
          <w:sz w:val="24"/>
          <w:highlight w:val="none"/>
          <w:lang w:eastAsia="zh-CN"/>
        </w:rPr>
        <w:t>投标人</w:t>
      </w:r>
      <w:r>
        <w:rPr>
          <w:rFonts w:hint="eastAsia" w:ascii="仿宋" w:hAnsi="仿宋" w:eastAsia="仿宋" w:cs="仿宋"/>
          <w:color w:val="auto"/>
          <w:kern w:val="0"/>
          <w:sz w:val="24"/>
          <w:highlight w:val="none"/>
        </w:rPr>
        <w:t>依法投诉的权利；</w:t>
      </w:r>
    </w:p>
    <w:p w14:paraId="3B496AA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（5）质疑答复人名称；</w:t>
      </w:r>
    </w:p>
    <w:p w14:paraId="0B7F177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（6）答复质疑的日期。</w:t>
      </w:r>
    </w:p>
    <w:p w14:paraId="54B21C1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质疑答复的内容不得涉及商业秘密。</w:t>
      </w:r>
    </w:p>
    <w:p w14:paraId="5D1B25F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、采购代理机构认为投标人质疑不成立，或者成立但未对中标、中标结果构成影响的，继续开展采购活动；认为投标人质疑成立且影响或者可能影响中标、中标结果的，按照下列情况处理：</w:t>
      </w:r>
    </w:p>
    <w:p w14:paraId="71FA328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（1）对招标文件提出的质疑，依法通过澄清或者修改可以继续开展采购活动的，澄清或者修改招标文件后继续开展采购活动；否则应当修改招标文件后重新开展采购活动。</w:t>
      </w:r>
    </w:p>
    <w:p w14:paraId="015E5C9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对采购过程、中标或者中标结果提出的质疑，合格投标人符合法定数量时，可以从合格的中标或者中标候选人中另行确定中标、中标人的，应当依法另行确定中标、中标人；否则应当重新开展采购活动。质疑答复导致中标、中标结果改变的，</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或者采购代理机构应当将有关情况书面报告本级财政部门。</w:t>
      </w:r>
    </w:p>
    <w:p w14:paraId="5318F71D">
      <w:pPr>
        <w:pStyle w:val="11"/>
        <w:outlineLvl w:val="1"/>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二、招标文件</w:t>
      </w:r>
    </w:p>
    <w:p w14:paraId="38520791">
      <w:pPr>
        <w:spacing w:line="460" w:lineRule="exact"/>
        <w:ind w:firstLine="482" w:firstLineChars="200"/>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（一） 招标文件的构成。本招标文件由以下部</w:t>
      </w:r>
      <w:r>
        <w:rPr>
          <w:rFonts w:hint="eastAsia" w:ascii="仿宋" w:hAnsi="仿宋" w:eastAsia="仿宋" w:cs="仿宋"/>
          <w:b/>
          <w:color w:val="auto"/>
          <w:kern w:val="0"/>
          <w:sz w:val="24"/>
          <w:highlight w:val="none"/>
          <w:lang w:eastAsia="zh-CN"/>
        </w:rPr>
        <w:t>分</w:t>
      </w:r>
      <w:r>
        <w:rPr>
          <w:rFonts w:hint="eastAsia" w:ascii="仿宋" w:hAnsi="仿宋" w:eastAsia="仿宋" w:cs="仿宋"/>
          <w:b/>
          <w:color w:val="auto"/>
          <w:kern w:val="0"/>
          <w:sz w:val="24"/>
          <w:highlight w:val="none"/>
        </w:rPr>
        <w:t>组成：</w:t>
      </w:r>
    </w:p>
    <w:p w14:paraId="0388109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1.公开招标公告</w:t>
      </w:r>
    </w:p>
    <w:p w14:paraId="75BE85B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2.招标需求</w:t>
      </w:r>
    </w:p>
    <w:p w14:paraId="77BBA94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3.投标人须知</w:t>
      </w:r>
    </w:p>
    <w:p w14:paraId="4C8C8D6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4.评标办法及</w:t>
      </w:r>
      <w:r>
        <w:rPr>
          <w:rFonts w:hint="eastAsia" w:ascii="仿宋" w:hAnsi="仿宋" w:eastAsia="仿宋" w:cs="仿宋"/>
          <w:color w:val="auto"/>
          <w:kern w:val="0"/>
          <w:sz w:val="24"/>
          <w:highlight w:val="none"/>
          <w:lang w:eastAsia="zh-CN"/>
        </w:rPr>
        <w:t>评分</w:t>
      </w:r>
      <w:r>
        <w:rPr>
          <w:rFonts w:hint="eastAsia" w:ascii="仿宋" w:hAnsi="仿宋" w:eastAsia="仿宋" w:cs="仿宋"/>
          <w:color w:val="auto"/>
          <w:kern w:val="0"/>
          <w:sz w:val="24"/>
          <w:highlight w:val="none"/>
        </w:rPr>
        <w:t>标准</w:t>
      </w:r>
    </w:p>
    <w:p w14:paraId="0BE396E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5.合同主要条款</w:t>
      </w:r>
    </w:p>
    <w:p w14:paraId="5A3AE34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6.投标格式</w:t>
      </w:r>
    </w:p>
    <w:p w14:paraId="2D82EE8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7.本项目招标文件的澄清、答复、修改、补充的内容</w:t>
      </w:r>
    </w:p>
    <w:p w14:paraId="27D1527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（二）投标人的风险</w:t>
      </w:r>
    </w:p>
    <w:p w14:paraId="28D7F66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投标人没有按照招标文件要求提供全部资料，或者投标人没有对招标文件在各方面作出实质性响应是投标人的风险，并可能导致其投标被拒绝。</w:t>
      </w:r>
    </w:p>
    <w:p w14:paraId="3D81150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（三）招标文件的澄清与修改</w:t>
      </w:r>
    </w:p>
    <w:p w14:paraId="1019096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1.投标人应认真阅读本招标文件，发现其中有误或有不合理要求的，投标人应当在获取招标文件或者招标文件公告期限届满之日起七个工作日内提出，否则逾期视为默认。</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对已发出的招标文件进行必要澄清、答复、修改或补充的，应当在招标文件要求提交投标文件截止时间十五日前，在财政部门指定的政府采购信息发布媒体上发布更正公告，并以书面形式通知所有招标文件收受人；不足十五日的，</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或者采购代理机构应当顺延提交投标文件的截止时间。</w:t>
      </w:r>
    </w:p>
    <w:p w14:paraId="7A657CD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、采购代理机构必须以书面形式答复投标人要求澄清的问题，并将不包含问题来源的答复书面通知所有购买招标文件的投标人；除书面答复以外的其他澄清方式及澄清内容均无效。</w:t>
      </w:r>
    </w:p>
    <w:p w14:paraId="4C3ECA9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3.招标文件澄清、答复、修改、补充的内容为招标文件的组成部分。当招标文件与招标文件的答复、澄清、修改、补充通知就同一内容的表述不一致时，以最后发出的书面文件为准。</w:t>
      </w:r>
    </w:p>
    <w:p w14:paraId="353639B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4.招标文件的澄清、答复、修改或补充都应该通过本采购代理机构以法定形式发布，</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非通过本采购代理机构，不得擅自澄清、答复、修改或补充招标文件。</w:t>
      </w:r>
    </w:p>
    <w:p w14:paraId="36FF6B9A">
      <w:pPr>
        <w:pStyle w:val="11"/>
        <w:outlineLvl w:val="1"/>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rPr>
        <w:t>三、投标文件的编制要求</w:t>
      </w:r>
      <w:r>
        <w:rPr>
          <w:rFonts w:hint="eastAsia" w:ascii="仿宋" w:hAnsi="仿宋" w:eastAsia="仿宋" w:cs="仿宋"/>
          <w:b/>
          <w:color w:val="auto"/>
          <w:sz w:val="24"/>
          <w:szCs w:val="24"/>
          <w:highlight w:val="none"/>
          <w:lang w:eastAsia="zh-CN"/>
        </w:rPr>
        <w:t>：</w:t>
      </w:r>
    </w:p>
    <w:p w14:paraId="0C157F5D">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（一）投标文件的组成（如无格式、格式自拟。）</w:t>
      </w:r>
    </w:p>
    <w:p w14:paraId="4C64174F">
      <w:pPr>
        <w:spacing w:line="460" w:lineRule="exact"/>
        <w:ind w:firstLine="480" w:firstLineChars="200"/>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投标文件由《资格文件》《技术、商务、资信及其他文件》《报价文件》三部分组成。</w:t>
      </w:r>
    </w:p>
    <w:p w14:paraId="16F3706F">
      <w:pPr>
        <w:numPr>
          <w:ilvl w:val="0"/>
          <w:numId w:val="5"/>
        </w:numPr>
        <w:spacing w:line="460" w:lineRule="exact"/>
        <w:ind w:firstLine="482" w:firstLineChars="200"/>
        <w:rPr>
          <w:rFonts w:hint="eastAsia" w:ascii="仿宋" w:hAnsi="仿宋" w:eastAsia="仿宋" w:cs="仿宋"/>
          <w:b/>
          <w:color w:val="auto"/>
          <w:kern w:val="0"/>
          <w:sz w:val="24"/>
          <w:highlight w:val="none"/>
        </w:rPr>
      </w:pPr>
      <w:bookmarkStart w:id="10" w:name="_Hlk69641401"/>
      <w:r>
        <w:rPr>
          <w:rFonts w:hint="eastAsia" w:ascii="仿宋" w:hAnsi="仿宋" w:eastAsia="仿宋" w:cs="仿宋"/>
          <w:b/>
          <w:color w:val="auto"/>
          <w:kern w:val="0"/>
          <w:sz w:val="24"/>
          <w:highlight w:val="none"/>
        </w:rPr>
        <w:t>资格文件主要包括下列内容：</w:t>
      </w:r>
      <w:r>
        <w:rPr>
          <w:rFonts w:hint="eastAsia" w:ascii="仿宋" w:hAnsi="仿宋" w:eastAsia="仿宋" w:cs="仿宋"/>
          <w:b/>
          <w:color w:val="auto"/>
          <w:kern w:val="0"/>
          <w:sz w:val="24"/>
          <w:highlight w:val="none"/>
          <w:lang w:eastAsia="zh-CN"/>
        </w:rPr>
        <w:t>（</w:t>
      </w:r>
      <w:r>
        <w:rPr>
          <w:rFonts w:hint="eastAsia" w:ascii="仿宋" w:hAnsi="仿宋" w:eastAsia="仿宋" w:cs="仿宋"/>
          <w:color w:val="auto"/>
          <w:sz w:val="24"/>
          <w:highlight w:val="none"/>
          <w:lang w:val="en-US" w:eastAsia="zh-CN"/>
        </w:rPr>
        <w:t>联合体投标的，联合体双方各自按要求进行签字盖章</w:t>
      </w:r>
      <w:r>
        <w:rPr>
          <w:rFonts w:hint="eastAsia" w:ascii="仿宋" w:hAnsi="仿宋" w:eastAsia="仿宋" w:cs="仿宋"/>
          <w:b/>
          <w:color w:val="auto"/>
          <w:kern w:val="0"/>
          <w:sz w:val="24"/>
          <w:highlight w:val="none"/>
          <w:lang w:eastAsia="zh-CN"/>
        </w:rPr>
        <w:t>）</w:t>
      </w:r>
      <w:r>
        <w:rPr>
          <w:rFonts w:hint="eastAsia" w:ascii="仿宋" w:hAnsi="仿宋" w:eastAsia="仿宋" w:cs="仿宋"/>
          <w:color w:val="auto"/>
          <w:sz w:val="24"/>
          <w:highlight w:val="none"/>
          <w:lang w:val="en-US" w:eastAsia="zh-CN"/>
        </w:rPr>
        <w:t>。</w:t>
      </w:r>
    </w:p>
    <w:p w14:paraId="5810955C">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lang w:val="en-US" w:eastAsia="zh-CN"/>
        </w:rPr>
        <w:t>①有效的</w:t>
      </w:r>
      <w:r>
        <w:rPr>
          <w:rFonts w:hint="eastAsia" w:ascii="仿宋" w:hAnsi="仿宋" w:eastAsia="仿宋" w:cs="仿宋"/>
          <w:color w:val="auto"/>
          <w:sz w:val="24"/>
          <w:highlight w:val="none"/>
        </w:rPr>
        <w:t>营业执照</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资质证书</w:t>
      </w:r>
      <w:r>
        <w:rPr>
          <w:rFonts w:hint="eastAsia" w:ascii="仿宋" w:hAnsi="仿宋" w:eastAsia="仿宋" w:cs="仿宋"/>
          <w:color w:val="auto"/>
          <w:sz w:val="24"/>
          <w:highlight w:val="none"/>
        </w:rPr>
        <w:t>；</w:t>
      </w:r>
      <w:r>
        <w:rPr>
          <w:rFonts w:hint="eastAsia" w:ascii="仿宋" w:hAnsi="仿宋" w:eastAsia="仿宋" w:cs="仿宋"/>
          <w:b/>
          <w:color w:val="auto"/>
          <w:sz w:val="24"/>
          <w:highlight w:val="none"/>
        </w:rPr>
        <w:t>（</w:t>
      </w:r>
      <w:r>
        <w:rPr>
          <w:rFonts w:hint="eastAsia" w:ascii="仿宋" w:hAnsi="仿宋" w:eastAsia="仿宋" w:cs="仿宋"/>
          <w:b/>
          <w:color w:val="auto"/>
          <w:sz w:val="24"/>
          <w:highlight w:val="none"/>
          <w:lang w:val="en-US" w:eastAsia="zh-CN"/>
        </w:rPr>
        <w:t>复印件或扫描件，加盖投标人单位公章。</w:t>
      </w:r>
      <w:r>
        <w:rPr>
          <w:rFonts w:hint="eastAsia" w:ascii="仿宋" w:hAnsi="仿宋" w:eastAsia="仿宋" w:cs="仿宋"/>
          <w:b/>
          <w:color w:val="auto"/>
          <w:sz w:val="24"/>
          <w:highlight w:val="none"/>
        </w:rPr>
        <w:t>资格审查条款</w:t>
      </w: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lang w:val="en-US" w:eastAsia="zh-CN"/>
        </w:rPr>
        <w:t>联合体投标的，营业执照联合体双方均须提供</w:t>
      </w:r>
      <w:r>
        <w:rPr>
          <w:rFonts w:hint="eastAsia" w:ascii="仿宋" w:hAnsi="仿宋" w:eastAsia="仿宋" w:cs="仿宋"/>
          <w:b/>
          <w:color w:val="auto"/>
          <w:sz w:val="24"/>
          <w:highlight w:val="none"/>
        </w:rPr>
        <w:t>）</w:t>
      </w:r>
    </w:p>
    <w:p w14:paraId="62FEEEAA">
      <w:pPr>
        <w:snapToGrid w:val="0"/>
        <w:spacing w:line="560" w:lineRule="exact"/>
        <w:ind w:firstLine="470" w:firstLineChars="196"/>
        <w:jc w:val="left"/>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②</w:t>
      </w:r>
      <w:r>
        <w:rPr>
          <w:rFonts w:hint="eastAsia" w:ascii="仿宋" w:hAnsi="仿宋" w:eastAsia="仿宋" w:cs="仿宋"/>
          <w:color w:val="auto"/>
          <w:sz w:val="24"/>
          <w:highlight w:val="none"/>
        </w:rPr>
        <w:t>法定代表人有效身份证明书及身份证（法定代表人参加</w:t>
      </w:r>
      <w:r>
        <w:rPr>
          <w:rFonts w:hint="eastAsia" w:ascii="仿宋" w:hAnsi="仿宋" w:eastAsia="仿宋" w:cs="仿宋"/>
          <w:color w:val="auto"/>
          <w:sz w:val="24"/>
          <w:highlight w:val="none"/>
          <w:lang w:eastAsia="zh-CN"/>
        </w:rPr>
        <w:t>投标</w:t>
      </w:r>
      <w:r>
        <w:rPr>
          <w:rFonts w:hint="eastAsia" w:ascii="仿宋" w:hAnsi="仿宋" w:eastAsia="仿宋" w:cs="仿宋"/>
          <w:color w:val="auto"/>
          <w:sz w:val="24"/>
          <w:highlight w:val="none"/>
        </w:rPr>
        <w:t>提供</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联合体投标的，联合体牵头方提供</w:t>
      </w:r>
      <w:r>
        <w:rPr>
          <w:rFonts w:hint="eastAsia" w:ascii="仿宋" w:hAnsi="仿宋" w:eastAsia="仿宋" w:cs="仿宋"/>
          <w:color w:val="auto"/>
          <w:sz w:val="24"/>
          <w:highlight w:val="none"/>
        </w:rPr>
        <w:t>）或法定代表人授权书及</w:t>
      </w:r>
      <w:r>
        <w:rPr>
          <w:rFonts w:hint="eastAsia" w:ascii="仿宋" w:hAnsi="仿宋" w:eastAsia="仿宋" w:cs="仿宋"/>
          <w:color w:val="auto"/>
          <w:sz w:val="24"/>
          <w:highlight w:val="none"/>
          <w:lang w:eastAsia="zh-CN"/>
        </w:rPr>
        <w:t>授权委托人</w:t>
      </w:r>
      <w:r>
        <w:rPr>
          <w:rFonts w:hint="eastAsia" w:ascii="仿宋" w:hAnsi="仿宋" w:eastAsia="仿宋" w:cs="仿宋"/>
          <w:color w:val="auto"/>
          <w:sz w:val="24"/>
          <w:highlight w:val="none"/>
        </w:rPr>
        <w:t>身份证、</w:t>
      </w:r>
      <w:r>
        <w:rPr>
          <w:rFonts w:hint="eastAsia" w:ascii="仿宋" w:hAnsi="仿宋" w:eastAsia="仿宋" w:cs="仿宋"/>
          <w:color w:val="auto"/>
          <w:sz w:val="24"/>
          <w:highlight w:val="none"/>
          <w:lang w:eastAsia="zh-CN"/>
        </w:rPr>
        <w:t>授权委托人</w:t>
      </w:r>
      <w:r>
        <w:rPr>
          <w:rFonts w:hint="eastAsia" w:ascii="仿宋" w:hAnsi="仿宋" w:eastAsia="仿宋" w:cs="仿宋"/>
          <w:color w:val="auto"/>
          <w:sz w:val="24"/>
          <w:highlight w:val="none"/>
        </w:rPr>
        <w:t>最近1个月个人社保缴纳证明文件（法定代表人授权委托人参加</w:t>
      </w:r>
      <w:r>
        <w:rPr>
          <w:rFonts w:hint="eastAsia" w:ascii="仿宋" w:hAnsi="仿宋" w:eastAsia="仿宋" w:cs="仿宋"/>
          <w:color w:val="auto"/>
          <w:sz w:val="24"/>
          <w:highlight w:val="none"/>
          <w:lang w:eastAsia="zh-CN"/>
        </w:rPr>
        <w:t>投标</w:t>
      </w:r>
      <w:r>
        <w:rPr>
          <w:rFonts w:hint="eastAsia" w:ascii="仿宋" w:hAnsi="仿宋" w:eastAsia="仿宋" w:cs="仿宋"/>
          <w:color w:val="auto"/>
          <w:sz w:val="24"/>
          <w:highlight w:val="none"/>
        </w:rPr>
        <w:t>提供</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联合体投标的，联合体牵头方提供</w:t>
      </w:r>
      <w:r>
        <w:rPr>
          <w:rFonts w:hint="eastAsia" w:ascii="仿宋" w:hAnsi="仿宋" w:eastAsia="仿宋" w:cs="仿宋"/>
          <w:color w:val="auto"/>
          <w:sz w:val="24"/>
          <w:highlight w:val="none"/>
        </w:rPr>
        <w:t>）；</w:t>
      </w:r>
      <w:r>
        <w:rPr>
          <w:rFonts w:hint="eastAsia" w:ascii="仿宋" w:hAnsi="仿宋" w:eastAsia="仿宋" w:cs="仿宋"/>
          <w:b/>
          <w:color w:val="auto"/>
          <w:sz w:val="24"/>
          <w:highlight w:val="none"/>
        </w:rPr>
        <w:t>（资格审查条款</w:t>
      </w:r>
      <w:r>
        <w:rPr>
          <w:rFonts w:hint="eastAsia" w:ascii="仿宋" w:hAnsi="仿宋" w:eastAsia="仿宋" w:cs="仿宋"/>
          <w:b/>
          <w:color w:val="auto"/>
          <w:sz w:val="24"/>
          <w:highlight w:val="none"/>
          <w:lang w:eastAsia="zh-CN"/>
        </w:rPr>
        <w:t>，</w:t>
      </w:r>
      <w:r>
        <w:rPr>
          <w:rFonts w:hint="eastAsia" w:ascii="仿宋" w:hAnsi="仿宋" w:eastAsia="仿宋" w:cs="宋体"/>
          <w:color w:val="auto"/>
          <w:kern w:val="0"/>
          <w:sz w:val="24"/>
          <w:highlight w:val="none"/>
          <w:lang w:val="en-US" w:eastAsia="zh-CN"/>
        </w:rPr>
        <w:t>格式见第六章</w:t>
      </w:r>
      <w:r>
        <w:rPr>
          <w:rFonts w:hint="eastAsia" w:ascii="仿宋" w:hAnsi="仿宋" w:eastAsia="仿宋" w:cs="仿宋"/>
          <w:b/>
          <w:color w:val="auto"/>
          <w:sz w:val="24"/>
          <w:highlight w:val="none"/>
        </w:rPr>
        <w:t>）</w:t>
      </w:r>
    </w:p>
    <w:p w14:paraId="4A4A7511">
      <w:pPr>
        <w:snapToGrid w:val="0"/>
        <w:spacing w:line="560" w:lineRule="exact"/>
        <w:ind w:firstLine="470" w:firstLineChars="19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③</w:t>
      </w:r>
      <w:r>
        <w:rPr>
          <w:rFonts w:hint="eastAsia" w:ascii="仿宋" w:hAnsi="仿宋" w:eastAsia="仿宋" w:cs="仿宋"/>
          <w:color w:val="auto"/>
          <w:sz w:val="24"/>
          <w:highlight w:val="none"/>
        </w:rPr>
        <w:t>承诺书</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格式见第</w:t>
      </w: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章</w:t>
      </w:r>
      <w:r>
        <w:rPr>
          <w:rFonts w:hint="eastAsia" w:ascii="仿宋" w:hAnsi="仿宋" w:eastAsia="仿宋" w:cs="仿宋"/>
          <w:color w:val="auto"/>
          <w:sz w:val="24"/>
          <w:highlight w:val="none"/>
          <w:lang w:eastAsia="zh-CN"/>
        </w:rPr>
        <w:t>，</w:t>
      </w:r>
      <w:r>
        <w:rPr>
          <w:rFonts w:hint="eastAsia" w:ascii="仿宋" w:hAnsi="仿宋" w:eastAsia="仿宋" w:cs="仿宋"/>
          <w:b/>
          <w:color w:val="auto"/>
          <w:sz w:val="24"/>
          <w:highlight w:val="none"/>
          <w:lang w:val="en-US" w:eastAsia="zh-CN"/>
        </w:rPr>
        <w:t>联合体投标的，联合体双方均须提供</w:t>
      </w:r>
      <w:r>
        <w:rPr>
          <w:rFonts w:hint="eastAsia" w:ascii="仿宋" w:hAnsi="仿宋" w:eastAsia="仿宋" w:cs="仿宋"/>
          <w:color w:val="auto"/>
          <w:sz w:val="24"/>
          <w:highlight w:val="none"/>
        </w:rPr>
        <w:t>）</w:t>
      </w:r>
    </w:p>
    <w:p w14:paraId="5C1A8D1B">
      <w:pPr>
        <w:snapToGrid w:val="0"/>
        <w:spacing w:line="560" w:lineRule="exact"/>
        <w:ind w:firstLine="470" w:firstLineChars="19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④</w:t>
      </w:r>
      <w:r>
        <w:rPr>
          <w:rFonts w:hint="eastAsia" w:ascii="仿宋" w:hAnsi="仿宋" w:eastAsia="仿宋" w:cs="仿宋"/>
          <w:color w:val="auto"/>
          <w:sz w:val="24"/>
          <w:highlight w:val="none"/>
        </w:rPr>
        <w:t>信用承诺书</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格式见第</w:t>
      </w: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章</w:t>
      </w:r>
      <w:r>
        <w:rPr>
          <w:rFonts w:hint="eastAsia" w:ascii="仿宋" w:hAnsi="仿宋" w:eastAsia="仿宋" w:cs="仿宋"/>
          <w:color w:val="auto"/>
          <w:sz w:val="24"/>
          <w:highlight w:val="none"/>
          <w:lang w:eastAsia="zh-CN"/>
        </w:rPr>
        <w:t>，</w:t>
      </w:r>
      <w:r>
        <w:rPr>
          <w:rFonts w:hint="eastAsia" w:ascii="仿宋" w:hAnsi="仿宋" w:eastAsia="仿宋" w:cs="仿宋"/>
          <w:b/>
          <w:color w:val="auto"/>
          <w:sz w:val="24"/>
          <w:highlight w:val="none"/>
          <w:lang w:val="en-US" w:eastAsia="zh-CN"/>
        </w:rPr>
        <w:t>联合体投标的，联合体双方均须提供</w:t>
      </w:r>
      <w:r>
        <w:rPr>
          <w:rFonts w:hint="eastAsia" w:ascii="仿宋" w:hAnsi="仿宋" w:eastAsia="仿宋" w:cs="仿宋"/>
          <w:color w:val="auto"/>
          <w:sz w:val="24"/>
          <w:highlight w:val="none"/>
        </w:rPr>
        <w:t>）</w:t>
      </w:r>
    </w:p>
    <w:p w14:paraId="5E2CEBEC">
      <w:pPr>
        <w:snapToGrid w:val="0"/>
        <w:spacing w:line="560" w:lineRule="exact"/>
        <w:ind w:firstLine="470" w:firstLineChars="196"/>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⑤中小企业声明函；（本项目所属行业：</w:t>
      </w:r>
      <w:r>
        <w:rPr>
          <w:rFonts w:hint="eastAsia" w:ascii="仿宋" w:hAnsi="仿宋" w:eastAsia="仿宋" w:cs="仿宋"/>
          <w:b/>
          <w:bCs/>
          <w:color w:val="auto"/>
          <w:sz w:val="24"/>
          <w:highlight w:val="none"/>
          <w:lang w:val="en-US" w:eastAsia="zh-CN"/>
        </w:rPr>
        <w:t>建筑业</w:t>
      </w:r>
      <w:r>
        <w:rPr>
          <w:rFonts w:hint="eastAsia" w:ascii="仿宋" w:hAnsi="仿宋" w:eastAsia="仿宋" w:cs="仿宋"/>
          <w:color w:val="auto"/>
          <w:sz w:val="24"/>
          <w:highlight w:val="none"/>
          <w:lang w:val="en-US" w:eastAsia="zh-CN"/>
        </w:rPr>
        <w:t>，</w:t>
      </w:r>
      <w:r>
        <w:rPr>
          <w:rFonts w:hint="eastAsia" w:ascii="仿宋" w:hAnsi="仿宋" w:eastAsia="仿宋" w:cs="仿宋"/>
          <w:b/>
          <w:bCs/>
          <w:color w:val="auto"/>
          <w:sz w:val="24"/>
          <w:highlight w:val="none"/>
          <w:lang w:val="en-US" w:eastAsia="zh-CN"/>
        </w:rPr>
        <w:t>资格审查条款，</w:t>
      </w:r>
      <w:r>
        <w:rPr>
          <w:rFonts w:hint="eastAsia" w:ascii="仿宋" w:hAnsi="仿宋" w:eastAsia="仿宋" w:cs="仿宋"/>
          <w:color w:val="auto"/>
          <w:sz w:val="24"/>
          <w:highlight w:val="none"/>
          <w:lang w:val="en-US" w:eastAsia="zh-CN"/>
        </w:rPr>
        <w:t>格式见第六章，</w:t>
      </w:r>
      <w:r>
        <w:rPr>
          <w:rFonts w:hint="eastAsia" w:ascii="仿宋" w:hAnsi="仿宋" w:eastAsia="仿宋" w:cs="仿宋"/>
          <w:b/>
          <w:color w:val="auto"/>
          <w:sz w:val="24"/>
          <w:highlight w:val="none"/>
          <w:lang w:val="en-US" w:eastAsia="zh-CN"/>
        </w:rPr>
        <w:t>联合体投标的，联合体双方均须提供</w:t>
      </w:r>
      <w:r>
        <w:rPr>
          <w:rFonts w:hint="eastAsia" w:ascii="仿宋" w:hAnsi="仿宋" w:eastAsia="仿宋" w:cs="仿宋"/>
          <w:color w:val="auto"/>
          <w:sz w:val="24"/>
          <w:highlight w:val="none"/>
          <w:lang w:val="en-US" w:eastAsia="zh-CN"/>
        </w:rPr>
        <w:t>）</w:t>
      </w:r>
    </w:p>
    <w:p w14:paraId="0EF78934">
      <w:pPr>
        <w:snapToGrid w:val="0"/>
        <w:spacing w:line="560" w:lineRule="exact"/>
        <w:ind w:firstLine="470" w:firstLineChars="196"/>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⑥监狱企业声明函；（如有，格式见第六章）</w:t>
      </w:r>
    </w:p>
    <w:p w14:paraId="69F34BC4">
      <w:pPr>
        <w:snapToGrid w:val="0"/>
        <w:spacing w:line="560" w:lineRule="exact"/>
        <w:ind w:firstLine="470" w:firstLineChars="19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⑦残疾人福利性单位声明函。（如有，格式见第六章）</w:t>
      </w:r>
    </w:p>
    <w:p w14:paraId="06D928D5">
      <w:pPr>
        <w:snapToGrid w:val="0"/>
        <w:spacing w:line="560" w:lineRule="exact"/>
        <w:ind w:firstLine="470" w:firstLineChars="196"/>
        <w:jc w:val="left"/>
        <w:rPr>
          <w:rFonts w:hint="default" w:eastAsia="仿宋"/>
          <w:lang w:val="en-US" w:eastAsia="zh-CN"/>
        </w:rPr>
      </w:pPr>
      <w:r>
        <w:rPr>
          <w:rFonts w:hint="eastAsia" w:ascii="仿宋" w:hAnsi="仿宋" w:eastAsia="仿宋" w:cs="仿宋"/>
          <w:color w:val="auto"/>
          <w:sz w:val="24"/>
          <w:highlight w:val="none"/>
          <w:lang w:val="en-US" w:eastAsia="zh-CN"/>
        </w:rPr>
        <w:t>⑧</w:t>
      </w:r>
      <w:r>
        <w:rPr>
          <w:rFonts w:hint="eastAsia" w:ascii="仿宋" w:hAnsi="仿宋" w:eastAsia="仿宋" w:cs="仿宋"/>
          <w:color w:val="auto"/>
          <w:sz w:val="24"/>
          <w:highlight w:val="none"/>
          <w:lang w:val="zh-CN" w:eastAsia="zh-CN"/>
        </w:rPr>
        <w:t>联合体共同投标协议书及</w:t>
      </w:r>
      <w:r>
        <w:rPr>
          <w:rFonts w:hint="eastAsia" w:ascii="仿宋" w:hAnsi="仿宋" w:eastAsia="仿宋" w:cs="仿宋"/>
          <w:color w:val="auto"/>
          <w:sz w:val="24"/>
          <w:highlight w:val="none"/>
          <w:lang w:val="zh-CN"/>
        </w:rPr>
        <w:t>联合体各方各提供一份联合体主办人授权书</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zh-CN" w:eastAsia="zh-CN"/>
        </w:rPr>
        <w:t>（</w:t>
      </w:r>
      <w:r>
        <w:rPr>
          <w:rFonts w:hint="eastAsia" w:ascii="仿宋" w:hAnsi="仿宋" w:eastAsia="仿宋" w:cs="仿宋"/>
          <w:color w:val="auto"/>
          <w:sz w:val="24"/>
          <w:highlight w:val="none"/>
          <w:lang w:val="zh-CN"/>
        </w:rPr>
        <w:t>联合体投标的</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lang w:val="zh-CN" w:eastAsia="zh-CN"/>
        </w:rPr>
        <w:t>，</w:t>
      </w:r>
      <w:r>
        <w:rPr>
          <w:rFonts w:hint="eastAsia" w:ascii="仿宋" w:hAnsi="仿宋" w:eastAsia="仿宋" w:cs="仿宋"/>
          <w:color w:val="auto"/>
          <w:sz w:val="24"/>
          <w:highlight w:val="none"/>
        </w:rPr>
        <w:t>格式自拟</w:t>
      </w:r>
      <w:r>
        <w:rPr>
          <w:rFonts w:hint="eastAsia" w:ascii="仿宋" w:hAnsi="仿宋" w:eastAsia="仿宋" w:cs="仿宋"/>
          <w:color w:val="auto"/>
          <w:sz w:val="24"/>
          <w:highlight w:val="none"/>
          <w:lang w:eastAsia="zh-CN"/>
        </w:rPr>
        <w:t>，</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25E17B3E">
      <w:pPr>
        <w:keepNext w:val="0"/>
        <w:keepLines w:val="0"/>
        <w:pageBreakBefore w:val="0"/>
        <w:widowControl w:val="0"/>
        <w:kinsoku/>
        <w:wordWrap/>
        <w:overflowPunct/>
        <w:topLinePunct w:val="0"/>
        <w:autoSpaceDE/>
        <w:autoSpaceDN/>
        <w:bidi w:val="0"/>
        <w:adjustRightInd/>
        <w:spacing w:line="600" w:lineRule="exact"/>
        <w:ind w:firstLine="482" w:firstLineChars="200"/>
        <w:textAlignment w:val="auto"/>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2. 技术、商务、资信及其他文件主要包括下列内容：</w:t>
      </w:r>
      <w:r>
        <w:rPr>
          <w:rFonts w:hint="eastAsia" w:ascii="仿宋" w:hAnsi="仿宋" w:eastAsia="仿宋" w:cs="仿宋"/>
          <w:b/>
          <w:color w:val="auto"/>
          <w:kern w:val="0"/>
          <w:sz w:val="24"/>
          <w:highlight w:val="none"/>
          <w:lang w:eastAsia="zh-CN"/>
        </w:rPr>
        <w:t>（</w:t>
      </w:r>
      <w:r>
        <w:rPr>
          <w:rFonts w:hint="eastAsia" w:ascii="仿宋" w:hAnsi="仿宋" w:eastAsia="仿宋" w:cs="仿宋"/>
          <w:b/>
          <w:color w:val="auto"/>
          <w:kern w:val="0"/>
          <w:sz w:val="24"/>
          <w:highlight w:val="none"/>
          <w:lang w:val="en-US" w:eastAsia="zh-CN"/>
        </w:rPr>
        <w:t>联合体投标的，</w:t>
      </w:r>
      <w:r>
        <w:rPr>
          <w:rFonts w:hint="eastAsia" w:ascii="仿宋" w:hAnsi="仿宋" w:eastAsia="仿宋" w:cs="仿宋"/>
          <w:b/>
          <w:bCs/>
          <w:color w:val="auto"/>
          <w:sz w:val="24"/>
          <w:highlight w:val="none"/>
          <w:lang w:val="en-US" w:eastAsia="zh-CN"/>
        </w:rPr>
        <w:t>由联合体牵头方签字盖章，</w:t>
      </w:r>
      <w:r>
        <w:rPr>
          <w:rFonts w:hint="eastAsia" w:ascii="仿宋" w:hAnsi="仿宋" w:eastAsia="仿宋" w:cs="仿宋"/>
          <w:b/>
          <w:bCs/>
          <w:color w:val="auto"/>
          <w:kern w:val="0"/>
          <w:sz w:val="24"/>
          <w:highlight w:val="none"/>
          <w:lang w:val="en-US" w:eastAsia="zh-CN"/>
        </w:rPr>
        <w:t>企业业绩和企业认证由提供方签字盖章</w:t>
      </w:r>
      <w:r>
        <w:rPr>
          <w:rFonts w:hint="eastAsia" w:ascii="仿宋" w:hAnsi="仿宋" w:eastAsia="仿宋" w:cs="仿宋"/>
          <w:b/>
          <w:color w:val="auto"/>
          <w:kern w:val="0"/>
          <w:sz w:val="24"/>
          <w:highlight w:val="none"/>
          <w:lang w:eastAsia="zh-CN"/>
        </w:rPr>
        <w:t>）</w:t>
      </w:r>
      <w:r>
        <w:rPr>
          <w:rFonts w:hint="eastAsia" w:ascii="仿宋" w:hAnsi="仿宋" w:eastAsia="仿宋" w:cs="仿宋"/>
          <w:color w:val="auto"/>
          <w:sz w:val="24"/>
          <w:highlight w:val="none"/>
          <w:lang w:val="en-US" w:eastAsia="zh-CN"/>
        </w:rPr>
        <w:t>。</w:t>
      </w:r>
    </w:p>
    <w:p w14:paraId="7AB0B0BE">
      <w:pPr>
        <w:keepNext w:val="0"/>
        <w:keepLines w:val="0"/>
        <w:pageBreakBefore w:val="0"/>
        <w:widowControl w:val="0"/>
        <w:kinsoku/>
        <w:wordWrap/>
        <w:overflowPunct/>
        <w:topLinePunct w:val="0"/>
        <w:autoSpaceDE/>
        <w:autoSpaceDN/>
        <w:bidi w:val="0"/>
        <w:adjustRightInd/>
        <w:spacing w:line="600" w:lineRule="exact"/>
        <w:ind w:firstLine="475" w:firstLineChars="198"/>
        <w:textAlignment w:val="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投标人自评分索引表</w:t>
      </w:r>
      <w:r>
        <w:rPr>
          <w:rFonts w:hint="eastAsia" w:ascii="仿宋" w:hAnsi="仿宋" w:eastAsia="仿宋" w:cs="宋体"/>
          <w:color w:val="auto"/>
          <w:kern w:val="0"/>
          <w:sz w:val="24"/>
          <w:highlight w:val="none"/>
          <w:lang w:val="en-US" w:eastAsia="zh-CN"/>
        </w:rPr>
        <w:t>(格式见第六章）</w:t>
      </w:r>
      <w:r>
        <w:rPr>
          <w:rFonts w:hint="eastAsia" w:ascii="仿宋" w:hAnsi="仿宋" w:eastAsia="仿宋" w:cs="宋体"/>
          <w:color w:val="auto"/>
          <w:kern w:val="0"/>
          <w:sz w:val="24"/>
          <w:highlight w:val="none"/>
        </w:rPr>
        <w:t>；</w:t>
      </w:r>
    </w:p>
    <w:p w14:paraId="58D759AE">
      <w:pPr>
        <w:pStyle w:val="13"/>
        <w:numPr>
          <w:ilvl w:val="0"/>
          <w:numId w:val="6"/>
        </w:numPr>
        <w:spacing w:line="460" w:lineRule="exact"/>
        <w:ind w:left="0" w:right="0" w:rightChars="0" w:firstLine="236" w:firstLineChars="98"/>
        <w:jc w:val="left"/>
        <w:rPr>
          <w:rFonts w:hint="eastAsia" w:ascii="仿宋" w:hAnsi="仿宋" w:eastAsia="仿宋" w:cs="宋体"/>
          <w:b/>
          <w:color w:val="auto"/>
          <w:kern w:val="0"/>
          <w:sz w:val="24"/>
          <w:szCs w:val="24"/>
          <w:highlight w:val="none"/>
        </w:rPr>
      </w:pPr>
      <w:r>
        <w:rPr>
          <w:rFonts w:hint="eastAsia" w:ascii="仿宋" w:hAnsi="仿宋" w:eastAsia="仿宋" w:cs="宋体"/>
          <w:b/>
          <w:color w:val="auto"/>
          <w:kern w:val="0"/>
          <w:sz w:val="24"/>
          <w:szCs w:val="24"/>
          <w:highlight w:val="none"/>
        </w:rPr>
        <w:t>技术部分：</w:t>
      </w:r>
    </w:p>
    <w:p w14:paraId="0C6DB605">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①施工组织设计方案；</w:t>
      </w:r>
    </w:p>
    <w:p w14:paraId="1A4C97FF">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②本项目拟投入设备；</w:t>
      </w:r>
    </w:p>
    <w:p w14:paraId="6FB49845">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③本项目人员配备；(格式见第六章）</w:t>
      </w:r>
    </w:p>
    <w:p w14:paraId="1D9F113F">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④供应商认为需要的其他资料。</w:t>
      </w:r>
    </w:p>
    <w:p w14:paraId="2ED748C7">
      <w:pPr>
        <w:numPr>
          <w:ilvl w:val="0"/>
          <w:numId w:val="6"/>
        </w:numPr>
        <w:spacing w:line="460" w:lineRule="exact"/>
        <w:ind w:left="0" w:leftChars="0" w:firstLine="236" w:firstLineChars="98"/>
        <w:jc w:val="left"/>
        <w:rPr>
          <w:rFonts w:hint="eastAsia" w:ascii="仿宋" w:hAnsi="仿宋" w:eastAsia="仿宋" w:cs="宋体"/>
          <w:b/>
          <w:color w:val="auto"/>
          <w:kern w:val="0"/>
          <w:sz w:val="24"/>
          <w:highlight w:val="none"/>
        </w:rPr>
      </w:pPr>
      <w:r>
        <w:rPr>
          <w:rFonts w:hint="eastAsia" w:ascii="仿宋" w:hAnsi="仿宋" w:eastAsia="仿宋" w:cs="宋体"/>
          <w:b/>
          <w:color w:val="auto"/>
          <w:kern w:val="0"/>
          <w:sz w:val="24"/>
          <w:highlight w:val="none"/>
        </w:rPr>
        <w:t>商务</w:t>
      </w:r>
      <w:r>
        <w:rPr>
          <w:rFonts w:hint="eastAsia" w:ascii="仿宋" w:hAnsi="仿宋" w:eastAsia="仿宋" w:cs="宋体"/>
          <w:b/>
          <w:color w:val="auto"/>
          <w:kern w:val="0"/>
          <w:sz w:val="24"/>
          <w:highlight w:val="none"/>
          <w:lang w:eastAsia="zh-CN"/>
        </w:rPr>
        <w:t>、资信及其他部分</w:t>
      </w:r>
      <w:r>
        <w:rPr>
          <w:rFonts w:hint="eastAsia" w:ascii="仿宋" w:hAnsi="仿宋" w:eastAsia="仿宋" w:cs="宋体"/>
          <w:b/>
          <w:color w:val="auto"/>
          <w:kern w:val="0"/>
          <w:sz w:val="24"/>
          <w:highlight w:val="none"/>
        </w:rPr>
        <w:t>：</w:t>
      </w:r>
    </w:p>
    <w:p w14:paraId="0D6EDD97">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①商务响应表；(格式见第六章）</w:t>
      </w:r>
    </w:p>
    <w:p w14:paraId="60191B5A">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②服务承诺；</w:t>
      </w:r>
    </w:p>
    <w:p w14:paraId="3704C188">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③企业业绩；(格式见第六章）</w:t>
      </w:r>
    </w:p>
    <w:p w14:paraId="52DF5C85">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④企业认证；</w:t>
      </w:r>
    </w:p>
    <w:p w14:paraId="05799FC4">
      <w:pPr>
        <w:spacing w:line="460" w:lineRule="exact"/>
        <w:ind w:firstLine="240" w:firstLineChars="100"/>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en-US" w:eastAsia="zh-CN"/>
        </w:rPr>
        <w:t>3</w:t>
      </w:r>
      <w:r>
        <w:rPr>
          <w:rFonts w:hint="eastAsia" w:ascii="仿宋" w:hAnsi="仿宋" w:eastAsia="仿宋" w:cs="宋体"/>
          <w:color w:val="auto"/>
          <w:kern w:val="0"/>
          <w:sz w:val="24"/>
          <w:highlight w:val="none"/>
        </w:rPr>
        <w:t>）其他招标文件要求提供的或投标人认为需要说明的技术、商务、资信及其他文件内容。</w:t>
      </w:r>
    </w:p>
    <w:p w14:paraId="61797B7B">
      <w:pPr>
        <w:spacing w:line="460" w:lineRule="exact"/>
        <w:ind w:firstLine="241" w:firstLineChars="100"/>
        <w:rPr>
          <w:rFonts w:ascii="仿宋" w:hAnsi="仿宋" w:eastAsia="仿宋" w:cs="宋体"/>
          <w:b/>
          <w:color w:val="auto"/>
          <w:kern w:val="0"/>
          <w:sz w:val="24"/>
          <w:highlight w:val="none"/>
        </w:rPr>
      </w:pPr>
      <w:r>
        <w:rPr>
          <w:rFonts w:hint="eastAsia" w:ascii="仿宋" w:hAnsi="仿宋" w:eastAsia="仿宋" w:cs="宋体"/>
          <w:b/>
          <w:color w:val="auto"/>
          <w:kern w:val="0"/>
          <w:sz w:val="24"/>
          <w:highlight w:val="none"/>
        </w:rPr>
        <w:t>3.报价文件：</w:t>
      </w:r>
      <w:r>
        <w:rPr>
          <w:rFonts w:hint="eastAsia" w:ascii="仿宋" w:hAnsi="仿宋" w:eastAsia="仿宋" w:cs="仿宋"/>
          <w:b/>
          <w:color w:val="auto"/>
          <w:kern w:val="0"/>
          <w:sz w:val="24"/>
          <w:highlight w:val="none"/>
          <w:lang w:eastAsia="zh-CN"/>
        </w:rPr>
        <w:t>（</w:t>
      </w:r>
      <w:r>
        <w:rPr>
          <w:rFonts w:hint="eastAsia" w:ascii="仿宋" w:hAnsi="仿宋" w:eastAsia="仿宋" w:cs="仿宋"/>
          <w:b/>
          <w:color w:val="auto"/>
          <w:kern w:val="0"/>
          <w:sz w:val="24"/>
          <w:highlight w:val="none"/>
          <w:lang w:val="en-US" w:eastAsia="zh-CN"/>
        </w:rPr>
        <w:t>联合体投标的，</w:t>
      </w:r>
      <w:r>
        <w:rPr>
          <w:rFonts w:hint="eastAsia" w:ascii="仿宋" w:hAnsi="仿宋" w:eastAsia="仿宋" w:cs="仿宋"/>
          <w:b/>
          <w:bCs/>
          <w:color w:val="auto"/>
          <w:sz w:val="24"/>
          <w:highlight w:val="none"/>
          <w:lang w:val="en-US" w:eastAsia="zh-CN"/>
        </w:rPr>
        <w:t>由联合体牵头方签字盖章）</w:t>
      </w:r>
    </w:p>
    <w:p w14:paraId="297B8A3A">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（1）投标函；（格式见第六章）</w:t>
      </w:r>
    </w:p>
    <w:p w14:paraId="04C649D5">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（2）开标一览表；（格式见第六章）</w:t>
      </w:r>
    </w:p>
    <w:p w14:paraId="533BE2B4">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（3）招标代理服务费承诺函；（格式见第六章）</w:t>
      </w:r>
    </w:p>
    <w:p w14:paraId="0173FF8F">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（4）投标人针对报价需要说明的其他文件和说明。</w:t>
      </w:r>
    </w:p>
    <w:bookmarkEnd w:id="10"/>
    <w:p w14:paraId="0F19318E">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（二）投标文件的语言及计量</w:t>
      </w:r>
    </w:p>
    <w:p w14:paraId="7F7693C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1.投标文件以及投标人与</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就有关投标事宜的所有来往函电，均应以中文汉语书写。除签名、盖章、专用名称等特殊情形外，以中文汉语以外的文字表述的投标文件视同未提供。</w:t>
      </w:r>
    </w:p>
    <w:p w14:paraId="34A19AD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2.投标计量单位，招标文件已有明确规定的，使用招标文件规定的计量单位；招标文件没有规定的，应采用中华人民共和国法定计量单位（货币单位：人民币元），否则视同未响应。</w:t>
      </w:r>
    </w:p>
    <w:p w14:paraId="277EB54E">
      <w:pPr>
        <w:spacing w:line="460" w:lineRule="exact"/>
        <w:ind w:firstLine="482" w:firstLineChars="200"/>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（三）投标报价</w:t>
      </w:r>
    </w:p>
    <w:p w14:paraId="4BB14DDD">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1.投标报价应按招标文件中相关附表格式填写。投标报价为本招标项目全部工作内容的报价，所有报价均应使用（人民币元）表示。</w:t>
      </w:r>
    </w:p>
    <w:p w14:paraId="3CECF627">
      <w:pPr>
        <w:spacing w:line="460" w:lineRule="exact"/>
        <w:ind w:firstLine="482" w:firstLineChars="200"/>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w:t>
      </w:r>
      <w:r>
        <w:rPr>
          <w:rFonts w:hint="eastAsia" w:ascii="仿宋" w:hAnsi="仿宋" w:eastAsia="仿宋" w:cs="仿宋"/>
          <w:color w:val="auto"/>
          <w:kern w:val="0"/>
          <w:sz w:val="24"/>
          <w:highlight w:val="none"/>
        </w:rPr>
        <w:t>2.投标报价是履行合同的最终价格，</w:t>
      </w:r>
      <w:r>
        <w:rPr>
          <w:rFonts w:hint="eastAsia" w:ascii="仿宋" w:hAnsi="仿宋" w:eastAsia="仿宋" w:cs="仿宋"/>
          <w:color w:val="auto"/>
          <w:sz w:val="24"/>
          <w:highlight w:val="none"/>
        </w:rPr>
        <w:t>不限于为完成本项目所涉及的人工、人员保险、福利、加班、税金、利润等所有费用。</w:t>
      </w:r>
      <w:r>
        <w:rPr>
          <w:rFonts w:hint="eastAsia" w:ascii="仿宋" w:hAnsi="仿宋" w:eastAsia="仿宋" w:cs="仿宋"/>
          <w:color w:val="auto"/>
          <w:kern w:val="0"/>
          <w:sz w:val="24"/>
          <w:highlight w:val="none"/>
        </w:rPr>
        <w:t>投标报价为签订合同的依据。因投标人失误的错漏项均视为已包含在总报价中。</w:t>
      </w:r>
    </w:p>
    <w:p w14:paraId="2A74CEE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3.投标文件只允许有一个报价，有选择的或有条件的报价将不予接受。</w:t>
      </w:r>
    </w:p>
    <w:p w14:paraId="1265ADA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4.投标人的最终报价由投标人自担全部风险责任，中标后不得以任何理由调整报价或追加任何费用。</w:t>
      </w:r>
    </w:p>
    <w:p w14:paraId="7A20458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5.投标人所有优惠条件和优惠费用不得降低和影响本采购项目质量。</w:t>
      </w:r>
    </w:p>
    <w:p w14:paraId="7DD1D91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6.投标人对招标文件里有关投标报价的全部内容应仔细确认，若有个别异议，应在开标前提出修改意见，否则视同全部确认。</w:t>
      </w:r>
    </w:p>
    <w:p w14:paraId="4E332A3D">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7.报价如单价与总价不符时，以单价为准；大写与小写不符时以大写为准。</w:t>
      </w:r>
    </w:p>
    <w:p w14:paraId="0EB2C85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8.投标人在报价中应充分考虑所有可能发生的费用，否则</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将视报价总价中已包括所有费用。</w:t>
      </w:r>
    </w:p>
    <w:p w14:paraId="6B81C2B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9.投标人对在合同执行中，除上述费用及招标文件规定的由中标人负责的工作范围以外需要</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协调或提供便利的工作应当在报价文件中说明。</w:t>
      </w:r>
    </w:p>
    <w:p w14:paraId="0907FAA3">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（四）投标文件的有效期</w:t>
      </w:r>
    </w:p>
    <w:p w14:paraId="0CF7B65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▲1.自投标截止日起</w:t>
      </w:r>
      <w:r>
        <w:rPr>
          <w:rFonts w:hint="eastAsia" w:ascii="仿宋" w:hAnsi="仿宋" w:eastAsia="仿宋" w:cs="仿宋"/>
          <w:color w:val="auto"/>
          <w:kern w:val="0"/>
          <w:sz w:val="24"/>
          <w:highlight w:val="none"/>
          <w:u w:val="single"/>
          <w:lang w:val="en-US" w:eastAsia="zh-CN"/>
        </w:rPr>
        <w:t>9</w:t>
      </w:r>
      <w:r>
        <w:rPr>
          <w:rFonts w:hint="eastAsia" w:ascii="仿宋" w:hAnsi="仿宋" w:eastAsia="仿宋" w:cs="仿宋"/>
          <w:color w:val="auto"/>
          <w:kern w:val="0"/>
          <w:sz w:val="24"/>
          <w:highlight w:val="none"/>
          <w:u w:val="single"/>
        </w:rPr>
        <w:t>0天</w:t>
      </w:r>
      <w:r>
        <w:rPr>
          <w:rFonts w:hint="eastAsia" w:ascii="仿宋" w:hAnsi="仿宋" w:eastAsia="仿宋" w:cs="仿宋"/>
          <w:color w:val="auto"/>
          <w:kern w:val="0"/>
          <w:sz w:val="24"/>
          <w:highlight w:val="none"/>
        </w:rPr>
        <w:t>投标文件应保持有效。有效期不足的投标文件将被拒绝。</w:t>
      </w:r>
    </w:p>
    <w:p w14:paraId="2749778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2.在特殊情况下，</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可与投标人协商延长投标书的有效期，这种要求和答复均以书面形式进行。</w:t>
      </w:r>
    </w:p>
    <w:p w14:paraId="125CB9C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3.投标人可拒绝接受延期要求。同意延长有效期的投标人不能修改投标文件。</w:t>
      </w:r>
    </w:p>
    <w:p w14:paraId="1173B096">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（五）投标文件的签署和份数</w:t>
      </w:r>
    </w:p>
    <w:p w14:paraId="1C691B2F">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1、电子投标文件：</w:t>
      </w:r>
    </w:p>
    <w:p w14:paraId="5A0D13D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投标人应根据“政采云</w:t>
      </w:r>
      <w:r>
        <w:rPr>
          <w:rFonts w:hint="eastAsia" w:ascii="仿宋" w:hAnsi="仿宋" w:eastAsia="仿宋" w:cs="仿宋"/>
          <w:color w:val="auto"/>
          <w:kern w:val="0"/>
          <w:sz w:val="24"/>
          <w:highlight w:val="none"/>
          <w:lang w:eastAsia="zh-CN"/>
        </w:rPr>
        <w:t>投标人</w:t>
      </w:r>
      <w:r>
        <w:rPr>
          <w:rFonts w:hint="eastAsia" w:ascii="仿宋" w:hAnsi="仿宋" w:eastAsia="仿宋" w:cs="仿宋"/>
          <w:color w:val="auto"/>
          <w:kern w:val="0"/>
          <w:sz w:val="24"/>
          <w:highlight w:val="none"/>
        </w:rPr>
        <w:t>项目采购-电子招投标操作指南”及本招标文件规定的格式和顺序编制电子投标文件并进行关联定位，若因投标文件内容不完整、编排混乱导致投标文件被误读、漏读或者查找不到相关内容的，是投标人的责任。凡是参加两个或者以上标项投标的，投标文件必须按标项分别制作。</w:t>
      </w:r>
    </w:p>
    <w:p w14:paraId="1C009C09">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2.数据电子备份投标文件（U 盘）： </w:t>
      </w:r>
    </w:p>
    <w:p w14:paraId="47A254D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电子投标文件的备份文件可以 U 盘形式存储。数据电子备份投标文件格式及内容须与政采云平台项目采购-电子交易操作指南中制作、加密并递交的电子投标文件格式及内容一致。投标人应将数据电子备份（U 盘）形式的投标文件密封、包装，不按此规定密封、包装的数据电子备份投标文件（U 盘）均按未提供处理。</w:t>
      </w:r>
    </w:p>
    <w:p w14:paraId="5E6AC609">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3.其他： </w:t>
      </w:r>
    </w:p>
    <w:p w14:paraId="6CF56E0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3.1 投标文件需按招标文件要求的格式填写并签字盖章。</w:t>
      </w:r>
    </w:p>
    <w:p w14:paraId="1EED1E1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3.2 投标文件不应涂改或行间插字和增删, 如有修改，修改处须加盖投标人的公章或由法定代表人或其授权委托人签字或盖章。投标文件因字迹潦草或表达不清所引起的后果由投标人负责。</w:t>
      </w:r>
    </w:p>
    <w:p w14:paraId="3E3BF82F">
      <w:pPr>
        <w:spacing w:line="460" w:lineRule="exact"/>
        <w:ind w:firstLine="482" w:firstLineChars="200"/>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（六）投标文件的包装、递交、修改和撤回</w:t>
      </w:r>
    </w:p>
    <w:p w14:paraId="422A9D1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应当在投标截止时间前完成电子投标文件的传输递交，并可以补充、修改或者撤回电子投标文件。补充或者修改电子投标文件的，应当先行撤回源文件，补充、修改后重新传输递交，投标截止时间止未完成传输的，视为撤回投标文件。投标、响应截止时间后送达的投标、响应文件，将被政采云平台拒收，</w:t>
      </w:r>
      <w:r>
        <w:rPr>
          <w:rFonts w:hint="eastAsia" w:ascii="仿宋" w:hAnsi="仿宋" w:eastAsia="仿宋" w:cs="仿宋"/>
          <w:color w:val="auto"/>
          <w:sz w:val="24"/>
          <w:highlight w:val="none"/>
        </w:rPr>
        <w:t>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kern w:val="0"/>
          <w:sz w:val="24"/>
          <w:highlight w:val="none"/>
        </w:rPr>
        <w:t>。</w:t>
      </w:r>
    </w:p>
    <w:p w14:paraId="2D4E411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2.数据电子备份投标文件（U 盘）：以 U 盘形式提供的数据电子备份投标文件格式及内容须与政采云平台项目采购-电子交易操作指南中制作、加密并递交的电子投标文件格式及内容一致。递交方式：</w:t>
      </w:r>
    </w:p>
    <w:p w14:paraId="30FC583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数据电子备份投标文件（U盘）应通过邮寄快递方式送达（原则上邮寄公司统一采用</w:t>
      </w:r>
      <w:r>
        <w:rPr>
          <w:rFonts w:hint="eastAsia" w:ascii="仿宋" w:hAnsi="仿宋" w:eastAsia="仿宋" w:cs="仿宋"/>
          <w:color w:val="auto"/>
          <w:kern w:val="0"/>
          <w:sz w:val="24"/>
          <w:highlight w:val="none"/>
          <w:lang w:val="en-US" w:eastAsia="zh-CN"/>
        </w:rPr>
        <w:t>顺丰</w:t>
      </w:r>
      <w:r>
        <w:rPr>
          <w:rFonts w:hint="eastAsia" w:ascii="仿宋" w:hAnsi="仿宋" w:eastAsia="仿宋" w:cs="仿宋"/>
          <w:color w:val="auto"/>
          <w:kern w:val="0"/>
          <w:sz w:val="24"/>
          <w:highlight w:val="none"/>
        </w:rPr>
        <w:t>），邮寄地址为：</w:t>
      </w:r>
      <w:r>
        <w:rPr>
          <w:rFonts w:hint="eastAsia" w:ascii="仿宋" w:hAnsi="仿宋" w:eastAsia="仿宋" w:cs="仿宋"/>
          <w:color w:val="auto"/>
          <w:kern w:val="0"/>
          <w:sz w:val="24"/>
          <w:highlight w:val="none"/>
          <w:lang w:eastAsia="zh-CN"/>
        </w:rPr>
        <w:t>浙江新诚信工程咨询有限公司</w:t>
      </w:r>
      <w:r>
        <w:rPr>
          <w:rFonts w:hint="eastAsia" w:ascii="仿宋" w:hAnsi="仿宋" w:eastAsia="仿宋" w:cs="仿宋"/>
          <w:color w:val="auto"/>
          <w:kern w:val="0"/>
          <w:sz w:val="24"/>
          <w:highlight w:val="none"/>
        </w:rPr>
        <w:t>[湖州市太湖路1155号</w:t>
      </w:r>
      <w:r>
        <w:rPr>
          <w:rFonts w:hint="eastAsia" w:ascii="仿宋" w:hAnsi="仿宋" w:eastAsia="仿宋" w:cs="仿宋"/>
          <w:color w:val="auto"/>
          <w:kern w:val="0"/>
          <w:sz w:val="24"/>
          <w:highlight w:val="none"/>
          <w:lang w:val="en-US" w:eastAsia="zh-CN"/>
        </w:rPr>
        <w:t>14楼1402</w:t>
      </w:r>
      <w:r>
        <w:rPr>
          <w:rFonts w:hint="eastAsia" w:ascii="仿宋" w:hAnsi="仿宋" w:eastAsia="仿宋" w:cs="仿宋"/>
          <w:color w:val="auto"/>
          <w:kern w:val="0"/>
          <w:sz w:val="24"/>
          <w:highlight w:val="none"/>
        </w:rPr>
        <w:t>]，联系电话：</w:t>
      </w:r>
      <w:r>
        <w:rPr>
          <w:rFonts w:hint="eastAsia" w:ascii="仿宋" w:hAnsi="仿宋" w:eastAsia="仿宋" w:cs="仿宋"/>
          <w:color w:val="auto"/>
          <w:kern w:val="0"/>
          <w:sz w:val="24"/>
          <w:highlight w:val="none"/>
          <w:lang w:val="en-US" w:eastAsia="zh-CN"/>
        </w:rPr>
        <w:t>18768247439</w:t>
      </w:r>
      <w:r>
        <w:rPr>
          <w:rFonts w:hint="eastAsia" w:ascii="仿宋" w:hAnsi="仿宋" w:eastAsia="仿宋" w:cs="仿宋"/>
          <w:color w:val="auto"/>
          <w:kern w:val="0"/>
          <w:sz w:val="24"/>
          <w:highlight w:val="none"/>
        </w:rPr>
        <w:t>。邮寄截止时间：投标人应于202</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10</w:t>
      </w:r>
      <w:r>
        <w:rPr>
          <w:rFonts w:hint="eastAsia" w:ascii="仿宋" w:hAnsi="仿宋" w:eastAsia="仿宋" w:cs="仿宋"/>
          <w:color w:val="auto"/>
          <w:kern w:val="0"/>
          <w:sz w:val="24"/>
          <w:highlight w:val="none"/>
        </w:rPr>
        <w:t xml:space="preserve">日17:00时前准时送达，逾期不予受理。投标人须留足投标文件邮寄时间,确保数据电子备份投标文件（U盘）于规定的时间前送达指定地点，未按时送达的，均按未提供处理。  </w:t>
      </w:r>
    </w:p>
    <w:p w14:paraId="4B78E7A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3.整个开标过程中若因投标人问题造成电子投标文件无法正常解密的，均认定为未提交电子投标文件，</w:t>
      </w:r>
      <w:r>
        <w:rPr>
          <w:rFonts w:hint="eastAsia" w:ascii="仿宋" w:hAnsi="仿宋" w:eastAsia="仿宋" w:cs="仿宋"/>
          <w:color w:val="auto"/>
          <w:sz w:val="24"/>
          <w:highlight w:val="none"/>
        </w:rPr>
        <w:t>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kern w:val="0"/>
          <w:sz w:val="24"/>
          <w:highlight w:val="none"/>
        </w:rPr>
        <w:t>。若因网络或者其他非投标人问题造成电子投标文件无法正常解密的，启用数据电子备份投标文件（U 盘），因投标人自身原因造成数据电子备份投标文件（U 盘）无法打开的，</w:t>
      </w:r>
      <w:r>
        <w:rPr>
          <w:rFonts w:hint="eastAsia" w:ascii="仿宋" w:hAnsi="仿宋" w:eastAsia="仿宋" w:cs="仿宋"/>
          <w:color w:val="auto"/>
          <w:sz w:val="24"/>
          <w:highlight w:val="none"/>
        </w:rPr>
        <w:t>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kern w:val="0"/>
          <w:sz w:val="24"/>
          <w:highlight w:val="none"/>
        </w:rPr>
        <w:t xml:space="preserve">。若正常解密成功，则数据电子备份投标文件（U 盘）不予开启。在下一顺位的投标文件启用时，前一顺位的投标文件自动失效。 </w:t>
      </w:r>
    </w:p>
    <w:p w14:paraId="58A1D34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4.投标人应将以数据电子备份（U 盘）形式提供的投标文件一份密封、包装。数据电子备份投标文件（U 盘）的包装封面上应注明投标人名称、投标人地址、投标文件名称、投标项目名称、标项及项目编号，并加盖投标人公章。未按规定密封、包装或标记的数据电子备份投标文件（U 盘）将被拒绝，由此造成数据电子备份投标文件（U 盘）被误投或提前拆封的风险由投标人承担。</w:t>
      </w:r>
    </w:p>
    <w:p w14:paraId="4A6FD8D2">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（七）投标无效的情形</w:t>
      </w:r>
    </w:p>
    <w:p w14:paraId="23C5904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实质上没有响应招标文件要求的投标将被视为无效投标。投标人不得通过修正或撤消不合要求的偏离或保留从而使其投标成为实质上响应的投标，但经评标委员会认定属于投标人疏忽、笔误所造成的差错，应当允许其在评标结束之前进行修改或者补正（可以是复印件、传真件等，原件必须加盖单位公章）。修改或者补正投标文件必须以书面形式进行，并应在中标结果公告之前查核原件。限期内不补正或经补正后仍不符合招标文件要求的，应认定其投标无效。投标人修改、补正投标文件后，不影响评标委员会对其投标文件所作的评价和评分结果。</w:t>
      </w:r>
    </w:p>
    <w:p w14:paraId="53F9C927">
      <w:pPr>
        <w:spacing w:line="500" w:lineRule="exact"/>
        <w:ind w:firstLine="482" w:firstLineChars="200"/>
        <w:rPr>
          <w:rFonts w:ascii="仿宋" w:hAnsi="仿宋" w:eastAsia="仿宋" w:cs="宋体"/>
          <w:b/>
          <w:color w:val="auto"/>
          <w:kern w:val="0"/>
          <w:sz w:val="24"/>
          <w:highlight w:val="none"/>
        </w:rPr>
      </w:pPr>
      <w:r>
        <w:rPr>
          <w:rFonts w:hint="eastAsia" w:ascii="仿宋" w:hAnsi="仿宋" w:eastAsia="仿宋" w:cs="宋体"/>
          <w:b/>
          <w:color w:val="auto"/>
          <w:kern w:val="0"/>
          <w:sz w:val="24"/>
          <w:highlight w:val="none"/>
        </w:rPr>
        <w:t>1.在评标开始前，</w:t>
      </w:r>
      <w:r>
        <w:rPr>
          <w:rFonts w:hint="eastAsia" w:ascii="仿宋" w:hAnsi="仿宋" w:eastAsia="仿宋" w:cs="宋体"/>
          <w:b/>
          <w:color w:val="auto"/>
          <w:kern w:val="0"/>
          <w:sz w:val="24"/>
          <w:highlight w:val="none"/>
          <w:lang w:eastAsia="zh-CN"/>
        </w:rPr>
        <w:t>采购人代表</w:t>
      </w:r>
      <w:r>
        <w:rPr>
          <w:rFonts w:hint="eastAsia" w:ascii="仿宋" w:hAnsi="仿宋" w:eastAsia="仿宋" w:cs="宋体"/>
          <w:b/>
          <w:color w:val="auto"/>
          <w:kern w:val="0"/>
          <w:sz w:val="24"/>
          <w:highlight w:val="none"/>
        </w:rPr>
        <w:t>或采购代理机构对投标人的资格进行审查，如发现下列情形之一的，投标文件将被视为无效，不在进行下一步评审：</w:t>
      </w:r>
    </w:p>
    <w:p w14:paraId="6200ABE3">
      <w:pPr>
        <w:spacing w:line="500" w:lineRule="exact"/>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（1）未提供有效的营业执照</w:t>
      </w:r>
      <w:r>
        <w:rPr>
          <w:rFonts w:hint="eastAsia" w:ascii="仿宋" w:hAnsi="仿宋" w:eastAsia="仿宋" w:cs="宋体"/>
          <w:color w:val="auto"/>
          <w:kern w:val="0"/>
          <w:sz w:val="24"/>
          <w:highlight w:val="none"/>
          <w:lang w:val="en-US" w:eastAsia="zh-CN"/>
        </w:rPr>
        <w:t>或资质证书的</w:t>
      </w:r>
      <w:r>
        <w:rPr>
          <w:rFonts w:hint="eastAsia" w:ascii="仿宋" w:hAnsi="仿宋" w:eastAsia="仿宋" w:cs="宋体"/>
          <w:color w:val="auto"/>
          <w:kern w:val="0"/>
          <w:sz w:val="24"/>
          <w:highlight w:val="none"/>
        </w:rPr>
        <w:t>；</w:t>
      </w:r>
    </w:p>
    <w:p w14:paraId="4167EFBE">
      <w:pPr>
        <w:spacing w:line="500" w:lineRule="exact"/>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en-US" w:eastAsia="zh-CN"/>
        </w:rPr>
        <w:t>（2）</w:t>
      </w:r>
      <w:r>
        <w:rPr>
          <w:rFonts w:hint="eastAsia" w:ascii="仿宋" w:hAnsi="仿宋" w:eastAsia="仿宋" w:cs="宋体"/>
          <w:color w:val="auto"/>
          <w:kern w:val="0"/>
          <w:sz w:val="24"/>
          <w:highlight w:val="none"/>
        </w:rPr>
        <w:t>未提供法定代表人有效身份证明书及身份证</w:t>
      </w:r>
      <w:r>
        <w:rPr>
          <w:rFonts w:hint="eastAsia" w:ascii="仿宋" w:hAnsi="仿宋" w:eastAsia="仿宋" w:cs="宋体"/>
          <w:color w:val="auto"/>
          <w:kern w:val="0"/>
          <w:sz w:val="24"/>
          <w:highlight w:val="none"/>
          <w:lang w:eastAsia="zh-CN"/>
        </w:rPr>
        <w:t>（法定代表人参加投标）</w:t>
      </w:r>
      <w:r>
        <w:rPr>
          <w:rFonts w:hint="eastAsia" w:ascii="仿宋" w:hAnsi="仿宋" w:eastAsia="仿宋" w:cs="宋体"/>
          <w:color w:val="auto"/>
          <w:kern w:val="0"/>
          <w:sz w:val="24"/>
          <w:highlight w:val="none"/>
        </w:rPr>
        <w:t>或未提供法定代表人授权书及被授权人身份证、被授权人近一个月社保的</w:t>
      </w:r>
      <w:r>
        <w:rPr>
          <w:rFonts w:hint="eastAsia" w:ascii="仿宋" w:hAnsi="仿宋" w:eastAsia="仿宋" w:cs="宋体"/>
          <w:color w:val="auto"/>
          <w:kern w:val="0"/>
          <w:sz w:val="24"/>
          <w:highlight w:val="none"/>
          <w:lang w:eastAsia="zh-CN"/>
        </w:rPr>
        <w:t>（法定代表人授权委托人参加投标的）</w:t>
      </w:r>
      <w:r>
        <w:rPr>
          <w:rFonts w:hint="eastAsia" w:ascii="仿宋" w:hAnsi="仿宋" w:eastAsia="仿宋" w:cs="宋体"/>
          <w:color w:val="auto"/>
          <w:kern w:val="0"/>
          <w:sz w:val="24"/>
          <w:highlight w:val="none"/>
        </w:rPr>
        <w:t>；</w:t>
      </w:r>
    </w:p>
    <w:p w14:paraId="6215D2F2">
      <w:pPr>
        <w:spacing w:line="500" w:lineRule="exact"/>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en-US" w:eastAsia="zh-CN"/>
        </w:rPr>
        <w:t>3</w:t>
      </w:r>
      <w:r>
        <w:rPr>
          <w:rFonts w:hint="eastAsia" w:ascii="仿宋" w:hAnsi="仿宋" w:eastAsia="仿宋" w:cs="宋体"/>
          <w:color w:val="auto"/>
          <w:kern w:val="0"/>
          <w:sz w:val="24"/>
          <w:highlight w:val="none"/>
        </w:rPr>
        <w:t>）未提供承诺书的；</w:t>
      </w:r>
    </w:p>
    <w:p w14:paraId="279C1A2C">
      <w:pPr>
        <w:spacing w:line="500" w:lineRule="exact"/>
        <w:ind w:firstLine="480" w:firstLineChars="200"/>
        <w:rPr>
          <w:rFonts w:hint="eastAsia" w:ascii="仿宋" w:hAnsi="仿宋" w:eastAsia="仿宋" w:cs="宋体"/>
          <w:color w:val="auto"/>
          <w:kern w:val="0"/>
          <w:sz w:val="24"/>
          <w:highlight w:val="none"/>
          <w:lang w:eastAsia="zh-CN"/>
        </w:rPr>
      </w:pP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en-US" w:eastAsia="zh-CN"/>
        </w:rPr>
        <w:t>4</w:t>
      </w:r>
      <w:r>
        <w:rPr>
          <w:rFonts w:hint="eastAsia" w:ascii="仿宋" w:hAnsi="仿宋" w:eastAsia="仿宋" w:cs="宋体"/>
          <w:color w:val="auto"/>
          <w:kern w:val="0"/>
          <w:sz w:val="24"/>
          <w:highlight w:val="none"/>
        </w:rPr>
        <w:t>）未提供</w:t>
      </w:r>
      <w:r>
        <w:rPr>
          <w:rFonts w:hint="eastAsia" w:ascii="仿宋" w:hAnsi="仿宋" w:eastAsia="仿宋" w:cs="宋体"/>
          <w:color w:val="auto"/>
          <w:kern w:val="0"/>
          <w:sz w:val="24"/>
          <w:highlight w:val="none"/>
          <w:lang w:val="en-US" w:eastAsia="zh-CN"/>
        </w:rPr>
        <w:t>信用</w:t>
      </w:r>
      <w:r>
        <w:rPr>
          <w:rFonts w:hint="eastAsia" w:ascii="仿宋" w:hAnsi="仿宋" w:eastAsia="仿宋" w:cs="宋体"/>
          <w:color w:val="auto"/>
          <w:kern w:val="0"/>
          <w:sz w:val="24"/>
          <w:highlight w:val="none"/>
        </w:rPr>
        <w:t>承诺书的</w:t>
      </w:r>
      <w:r>
        <w:rPr>
          <w:rFonts w:hint="eastAsia" w:ascii="仿宋" w:hAnsi="仿宋" w:eastAsia="仿宋" w:cs="宋体"/>
          <w:color w:val="auto"/>
          <w:kern w:val="0"/>
          <w:sz w:val="24"/>
          <w:highlight w:val="none"/>
          <w:lang w:eastAsia="zh-CN"/>
        </w:rPr>
        <w:t>；</w:t>
      </w:r>
    </w:p>
    <w:p w14:paraId="37026EE2">
      <w:pPr>
        <w:spacing w:line="500" w:lineRule="exact"/>
        <w:ind w:firstLine="480" w:firstLineChars="200"/>
        <w:rPr>
          <w:rFonts w:hint="eastAsia" w:ascii="仿宋" w:hAnsi="仿宋" w:eastAsia="仿宋" w:cs="宋体"/>
          <w:color w:val="auto"/>
          <w:kern w:val="0"/>
          <w:sz w:val="24"/>
          <w:highlight w:val="none"/>
          <w:lang w:eastAsia="zh-CN"/>
        </w:rPr>
      </w:pPr>
      <w:r>
        <w:rPr>
          <w:rFonts w:hint="eastAsia" w:ascii="仿宋" w:hAnsi="仿宋" w:eastAsia="仿宋" w:cs="宋体"/>
          <w:color w:val="auto"/>
          <w:kern w:val="0"/>
          <w:sz w:val="24"/>
          <w:highlight w:val="none"/>
          <w:lang w:eastAsia="zh-CN"/>
        </w:rPr>
        <w:t>（</w:t>
      </w:r>
      <w:r>
        <w:rPr>
          <w:rFonts w:hint="eastAsia" w:ascii="仿宋" w:hAnsi="仿宋" w:eastAsia="仿宋" w:cs="宋体"/>
          <w:color w:val="auto"/>
          <w:kern w:val="0"/>
          <w:sz w:val="24"/>
          <w:highlight w:val="none"/>
          <w:lang w:val="en-US" w:eastAsia="zh-CN"/>
        </w:rPr>
        <w:t>5</w:t>
      </w:r>
      <w:r>
        <w:rPr>
          <w:rFonts w:hint="eastAsia" w:ascii="仿宋" w:hAnsi="仿宋" w:eastAsia="仿宋" w:cs="宋体"/>
          <w:color w:val="auto"/>
          <w:kern w:val="0"/>
          <w:sz w:val="24"/>
          <w:highlight w:val="none"/>
          <w:lang w:eastAsia="zh-CN"/>
        </w:rPr>
        <w:t>）</w:t>
      </w:r>
      <w:r>
        <w:rPr>
          <w:rFonts w:hint="eastAsia" w:ascii="仿宋" w:hAnsi="仿宋" w:eastAsia="仿宋" w:cs="宋体"/>
          <w:color w:val="auto"/>
          <w:kern w:val="0"/>
          <w:sz w:val="24"/>
          <w:highlight w:val="none"/>
        </w:rPr>
        <w:t>未提供《中小企业声明函》</w:t>
      </w:r>
      <w:r>
        <w:rPr>
          <w:rFonts w:hint="eastAsia" w:ascii="仿宋" w:hAnsi="仿宋" w:eastAsia="仿宋" w:cs="宋体"/>
          <w:color w:val="auto"/>
          <w:kern w:val="0"/>
          <w:sz w:val="24"/>
          <w:highlight w:val="none"/>
          <w:lang w:val="en-US" w:eastAsia="zh-CN"/>
        </w:rPr>
        <w:t>或</w:t>
      </w:r>
      <w:r>
        <w:rPr>
          <w:rFonts w:hint="eastAsia" w:ascii="仿宋" w:hAnsi="仿宋" w:eastAsia="仿宋" w:cs="宋体"/>
          <w:color w:val="auto"/>
          <w:kern w:val="0"/>
          <w:sz w:val="24"/>
          <w:highlight w:val="none"/>
        </w:rPr>
        <w:t xml:space="preserve">《中小企业声明函》 </w:t>
      </w:r>
      <w:r>
        <w:rPr>
          <w:rFonts w:hint="eastAsia" w:ascii="仿宋" w:hAnsi="仿宋" w:eastAsia="仿宋" w:cs="宋体"/>
          <w:color w:val="auto"/>
          <w:kern w:val="0"/>
          <w:sz w:val="24"/>
          <w:highlight w:val="none"/>
          <w:lang w:val="en-US" w:eastAsia="zh-CN"/>
        </w:rPr>
        <w:t>填写行业错误或未填写行业的（</w:t>
      </w:r>
      <w:r>
        <w:rPr>
          <w:rFonts w:hint="eastAsia" w:ascii="仿宋" w:hAnsi="仿宋" w:eastAsia="仿宋" w:cs="宋体"/>
          <w:color w:val="auto"/>
          <w:kern w:val="0"/>
          <w:sz w:val="24"/>
          <w:highlight w:val="none"/>
        </w:rPr>
        <w:t>监狱企业参加投标</w:t>
      </w:r>
      <w:r>
        <w:rPr>
          <w:rFonts w:hint="eastAsia" w:ascii="仿宋" w:hAnsi="仿宋" w:eastAsia="仿宋" w:cs="宋体"/>
          <w:color w:val="auto"/>
          <w:kern w:val="0"/>
          <w:sz w:val="24"/>
          <w:highlight w:val="none"/>
          <w:lang w:val="en-US" w:eastAsia="zh-CN"/>
        </w:rPr>
        <w:t>未</w:t>
      </w:r>
      <w:r>
        <w:rPr>
          <w:rFonts w:hint="eastAsia" w:ascii="仿宋" w:hAnsi="仿宋" w:eastAsia="仿宋" w:cs="宋体"/>
          <w:color w:val="auto"/>
          <w:kern w:val="0"/>
          <w:sz w:val="24"/>
          <w:highlight w:val="none"/>
        </w:rPr>
        <w:t>提供《监狱企业声明函》及其相关的证明材料</w:t>
      </w:r>
      <w:r>
        <w:rPr>
          <w:rFonts w:hint="eastAsia" w:ascii="仿宋" w:hAnsi="仿宋" w:eastAsia="仿宋" w:cs="宋体"/>
          <w:color w:val="auto"/>
          <w:kern w:val="0"/>
          <w:sz w:val="24"/>
          <w:highlight w:val="none"/>
          <w:lang w:val="en-US" w:eastAsia="zh-CN"/>
        </w:rPr>
        <w:t>或</w:t>
      </w:r>
      <w:r>
        <w:rPr>
          <w:rFonts w:hint="eastAsia" w:ascii="仿宋" w:hAnsi="仿宋" w:eastAsia="仿宋" w:cs="宋体"/>
          <w:color w:val="auto"/>
          <w:kern w:val="0"/>
          <w:sz w:val="24"/>
          <w:highlight w:val="none"/>
        </w:rPr>
        <w:t>残疾人福利性单位参加投标</w:t>
      </w:r>
      <w:r>
        <w:rPr>
          <w:rFonts w:hint="eastAsia" w:ascii="仿宋" w:hAnsi="仿宋" w:eastAsia="仿宋" w:cs="宋体"/>
          <w:color w:val="auto"/>
          <w:kern w:val="0"/>
          <w:sz w:val="24"/>
          <w:highlight w:val="none"/>
          <w:lang w:val="en-US" w:eastAsia="zh-CN"/>
        </w:rPr>
        <w:t>未</w:t>
      </w:r>
      <w:r>
        <w:rPr>
          <w:rFonts w:hint="eastAsia" w:ascii="仿宋" w:hAnsi="仿宋" w:eastAsia="仿宋" w:cs="宋体"/>
          <w:color w:val="auto"/>
          <w:kern w:val="0"/>
          <w:sz w:val="24"/>
          <w:highlight w:val="none"/>
        </w:rPr>
        <w:t>提供《残疾人福利性单位声明函》</w:t>
      </w:r>
      <w:r>
        <w:rPr>
          <w:rFonts w:hint="eastAsia" w:ascii="仿宋" w:hAnsi="仿宋" w:eastAsia="仿宋" w:cs="宋体"/>
          <w:color w:val="auto"/>
          <w:kern w:val="0"/>
          <w:sz w:val="24"/>
          <w:highlight w:val="none"/>
          <w:lang w:val="en-US" w:eastAsia="zh-CN"/>
        </w:rPr>
        <w:t>的</w:t>
      </w:r>
      <w:r>
        <w:rPr>
          <w:rFonts w:hint="eastAsia" w:ascii="仿宋" w:hAnsi="仿宋" w:eastAsia="仿宋" w:cs="宋体"/>
          <w:color w:val="auto"/>
          <w:kern w:val="0"/>
          <w:sz w:val="24"/>
          <w:highlight w:val="none"/>
          <w:lang w:eastAsia="zh-CN"/>
        </w:rPr>
        <w:t>）；</w:t>
      </w:r>
    </w:p>
    <w:p w14:paraId="2006283F">
      <w:pPr>
        <w:spacing w:line="500" w:lineRule="exact"/>
        <w:ind w:firstLine="480" w:firstLineChars="200"/>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lang w:val="en-US" w:eastAsia="zh-CN"/>
        </w:rPr>
        <w:t>（6）</w:t>
      </w:r>
      <w:r>
        <w:rPr>
          <w:rFonts w:hint="eastAsia" w:ascii="仿宋" w:hAnsi="仿宋" w:eastAsia="仿宋" w:cs="宋体"/>
          <w:color w:val="auto"/>
          <w:kern w:val="0"/>
          <w:sz w:val="24"/>
          <w:highlight w:val="none"/>
        </w:rPr>
        <w:t>自招标公告发布之日起投标截止日内，在“信用中国网”(www.creditchina.gov.cn)被列入失信被执行人、重大税收违法当事人名单、政府采购严重违法失信行为记录名单的投标人，资格审查时不予以通过；投标截止前，在“中国政府采购网”(www.ccgp.gov.cn)被列入政府采购严重违法失信行为记录名单中的投标人且在处罚有效期内的投标人，资格审查时不予以通过；</w:t>
      </w:r>
    </w:p>
    <w:p w14:paraId="453D6656">
      <w:pPr>
        <w:spacing w:line="500" w:lineRule="exact"/>
        <w:ind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7</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联合体投标未提供</w:t>
      </w:r>
      <w:r>
        <w:rPr>
          <w:rFonts w:hint="eastAsia" w:ascii="仿宋" w:hAnsi="仿宋" w:eastAsia="仿宋" w:cs="仿宋"/>
          <w:color w:val="auto"/>
          <w:sz w:val="24"/>
          <w:highlight w:val="none"/>
          <w:lang w:val="zh-CN" w:eastAsia="zh-CN"/>
        </w:rPr>
        <w:t>联合体共同投标协议书及</w:t>
      </w:r>
      <w:r>
        <w:rPr>
          <w:rFonts w:hint="eastAsia" w:ascii="仿宋" w:hAnsi="仿宋" w:eastAsia="仿宋" w:cs="仿宋"/>
          <w:color w:val="auto"/>
          <w:sz w:val="24"/>
          <w:highlight w:val="none"/>
          <w:lang w:val="zh-CN"/>
        </w:rPr>
        <w:t>联合体各方</w:t>
      </w:r>
      <w:r>
        <w:rPr>
          <w:rFonts w:hint="eastAsia" w:ascii="仿宋" w:hAnsi="仿宋" w:eastAsia="仿宋" w:cs="仿宋"/>
          <w:color w:val="auto"/>
          <w:sz w:val="24"/>
          <w:highlight w:val="none"/>
          <w:lang w:val="en-US" w:eastAsia="zh-CN"/>
        </w:rPr>
        <w:t>未</w:t>
      </w:r>
      <w:r>
        <w:rPr>
          <w:rFonts w:hint="eastAsia" w:ascii="仿宋" w:hAnsi="仿宋" w:eastAsia="仿宋" w:cs="仿宋"/>
          <w:color w:val="auto"/>
          <w:sz w:val="24"/>
          <w:highlight w:val="none"/>
          <w:lang w:val="zh-CN"/>
        </w:rPr>
        <w:t>提供一份联合体主办人授权书；</w:t>
      </w:r>
    </w:p>
    <w:p w14:paraId="7259A1EC">
      <w:pPr>
        <w:spacing w:line="500" w:lineRule="exact"/>
        <w:ind w:firstLine="480" w:firstLineChars="200"/>
        <w:rPr>
          <w:rFonts w:ascii="仿宋" w:hAnsi="仿宋" w:eastAsia="仿宋" w:cs="宋体"/>
          <w:color w:val="auto"/>
          <w:kern w:val="0"/>
          <w:sz w:val="24"/>
          <w:highlight w:val="none"/>
        </w:rPr>
      </w:pPr>
      <w:r>
        <w:rPr>
          <w:rFonts w:hint="eastAsia" w:ascii="仿宋" w:hAnsi="仿宋" w:eastAsia="仿宋" w:cs="仿宋"/>
          <w:color w:val="auto"/>
          <w:sz w:val="24"/>
          <w:highlight w:val="none"/>
          <w:lang w:val="zh-CN"/>
        </w:rPr>
        <w:t>（</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lang w:val="zh-CN"/>
        </w:rPr>
        <w:t>）</w:t>
      </w:r>
      <w:r>
        <w:rPr>
          <w:rFonts w:hint="eastAsia" w:ascii="仿宋" w:hAnsi="仿宋" w:eastAsia="仿宋" w:cs="宋体"/>
          <w:color w:val="auto"/>
          <w:kern w:val="0"/>
          <w:sz w:val="24"/>
          <w:highlight w:val="none"/>
        </w:rPr>
        <w:t>资格证明文件不全的，或者不符合招标文件标明的资格要求的。</w:t>
      </w:r>
    </w:p>
    <w:p w14:paraId="6816A70D">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2.在符合性审查和商务评审时，如发现下列情形之一的，投标文件将被视为无效：</w:t>
      </w:r>
    </w:p>
    <w:p w14:paraId="15A78D0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（1）投标文件未按招标文件要求签字或盖章；</w:t>
      </w:r>
    </w:p>
    <w:p w14:paraId="4D48FA5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（2）投标文件格式不规范、项目不齐全或者内容虚假的；</w:t>
      </w:r>
    </w:p>
    <w:p w14:paraId="633F5C2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（3）投标文件的实质性内容未使用中文表述、意思表述不明确、前后矛盾或者使用计量单位不符合招标文件要求的（经评标委员会认定并允许其当场更正的笔误除外）；</w:t>
      </w:r>
    </w:p>
    <w:p w14:paraId="09ADE2B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（4）未实质性响应招标文件要求或者投标文件有</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不能接受的附加条件的。</w:t>
      </w:r>
    </w:p>
    <w:p w14:paraId="1429F90A">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3.在技术评审时，如发现下列情形之一的，投标文件将被视为无效：</w:t>
      </w:r>
    </w:p>
    <w:p w14:paraId="0A8359E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（1）未提供或未如实提供投标货物的技术参数，或者投标文件标明的响应或偏离与事实不符或虚假投标的；</w:t>
      </w:r>
    </w:p>
    <w:p w14:paraId="4FCBF72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（2）明显不符合招标文件要求的规格型号、质量标准，或者与招标文件中标有“▲”的技术指标、主要功能项目发生实质性偏离的；</w:t>
      </w:r>
    </w:p>
    <w:p w14:paraId="5098FF7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（3）投标技术方案不明确，存在一个或一个以上备选（替代）投标方案的；</w:t>
      </w:r>
    </w:p>
    <w:p w14:paraId="0DB9895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（4）与其他参加本次投标投标人的投标文件（技术文件）的文字表述内容相同连续 20行以上或者差错相同2处以上的。</w:t>
      </w:r>
    </w:p>
    <w:p w14:paraId="338A406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4.在报价评审时，如发现下列情形之一的，投标文件将被视为无效：</w:t>
      </w:r>
    </w:p>
    <w:p w14:paraId="1D758B0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（1）未采用“人民币元”报价的或未按照招标文件表明的币种报价的；</w:t>
      </w:r>
    </w:p>
    <w:p w14:paraId="6B70B2D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（2）报价偏离</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的采购定价，或者超出采购预算金额，</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不能支付的；</w:t>
      </w:r>
    </w:p>
    <w:p w14:paraId="526B993D">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（3）投标报价具有选择性，或者投标报价未按照招标文件规定的价格进行报价的。</w:t>
      </w:r>
    </w:p>
    <w:p w14:paraId="2893DB4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5.被拒绝的投标文件为无效。</w:t>
      </w:r>
    </w:p>
    <w:p w14:paraId="191B44A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6.投标人有下列情形之一的，视为投标人串通投标，其投标无效： </w:t>
      </w:r>
    </w:p>
    <w:p w14:paraId="729EEAD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（1）不同投标人的投标（响应）文件由同一单位或者个人编制；</w:t>
      </w:r>
    </w:p>
    <w:p w14:paraId="7BD6210D">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（2）不同投标人委托同一单位或者个人办理投标事宜；</w:t>
      </w:r>
    </w:p>
    <w:p w14:paraId="58FD116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（3）不同投标人的投标文件或响应文件载明的项目管理成员或者联系人员为同一人；</w:t>
      </w:r>
    </w:p>
    <w:p w14:paraId="24765E7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（4）不同投标人的投标（响应）文件件异常一致或者投标报价呈规律性差异；</w:t>
      </w:r>
    </w:p>
    <w:p w14:paraId="24F869D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（5）不同投标人的投标（响应）文件相互混装。</w:t>
      </w:r>
    </w:p>
    <w:p w14:paraId="26EA39C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 投标人有下列情形之一的，属于恶意串通，其投标无效：</w:t>
      </w:r>
    </w:p>
    <w:p w14:paraId="53DD5FF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（1）投标人直接或者间接从</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或者采购代理机构处获得其他投标人的相关情况并修改其投标（响应）文件；</w:t>
      </w:r>
    </w:p>
    <w:p w14:paraId="4C8F46D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（2）投标人按照</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或者采购代理机构的授意撤换、修改投标（响应）文件；</w:t>
      </w:r>
    </w:p>
    <w:p w14:paraId="23A4F16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（3）投标人之间协商报价、技术方案等投标（响应）文件的实质性内容；</w:t>
      </w:r>
    </w:p>
    <w:p w14:paraId="45D5D89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（4）属于同一集团、协会、商会等组织成员的投标人按照该组织要求协同参加政府采购活动；</w:t>
      </w:r>
    </w:p>
    <w:p w14:paraId="0EF34F6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（5）投标人之间事先约定由某一特定投标人中标、成交；</w:t>
      </w:r>
    </w:p>
    <w:p w14:paraId="02FB8BF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（6）投标人之间商定部分投标人放弃参加政府采购活动或者放弃中标、成交；</w:t>
      </w:r>
    </w:p>
    <w:p w14:paraId="2A87827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（7）投标人与</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或者采购代理机构之间、投标人相互之间，为谋求特定投标人中标、成交或者排斥其他投标人的其他串通行为。</w:t>
      </w:r>
    </w:p>
    <w:p w14:paraId="2B030CA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8.出现以下情形，导致电子交易平台无法正常进行，或者无法保证电子交易的公平、公正和安全时，中止电子交易活动： </w:t>
      </w:r>
    </w:p>
    <w:p w14:paraId="260BDF6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（1）电子交易平台发生故障而无法登录访问的；</w:t>
      </w:r>
    </w:p>
    <w:p w14:paraId="5B3363D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（2）电子交易平台应用或数据库出现错误，不能进行正常操作的；</w:t>
      </w:r>
    </w:p>
    <w:p w14:paraId="6450B00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（3）电子交易平台发现严重安全漏洞，有潜在泄密危险的；</w:t>
      </w:r>
    </w:p>
    <w:p w14:paraId="3534A43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（4）病毒发作导致不能进行正常操作的；</w:t>
      </w:r>
    </w:p>
    <w:p w14:paraId="5B10DBA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（5）其他无法保证电子交易的公平、公正和安全的情况。</w:t>
      </w:r>
    </w:p>
    <w:p w14:paraId="7AEAF87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出现以上规定情形，不影响采购公平、公正性的，采购代理机构可以待上述情形消除后继续组织电子交易活动，也可以决定某些环节以数据电子备份投标文件（U 盘）形式进行；影响或可能影响采购公平、公正性的，重新采购。</w:t>
      </w:r>
    </w:p>
    <w:p w14:paraId="415A4435">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(八）废标的情形</w:t>
      </w:r>
    </w:p>
    <w:p w14:paraId="27C5AB6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在采购活动中，出现下列情形之一的，应予废标：</w:t>
      </w:r>
    </w:p>
    <w:p w14:paraId="1FB7F72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(1)符合专业条件的投标人或者对招标文件作实质性响应的投标人不足三家的；</w:t>
      </w:r>
    </w:p>
    <w:p w14:paraId="6CEE3C5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(2)出现影响采购公正的违法、违规行为的；</w:t>
      </w:r>
    </w:p>
    <w:p w14:paraId="10C0F54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(3)投标人的报价均超过了采购预算，</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不能支付的；</w:t>
      </w:r>
    </w:p>
    <w:p w14:paraId="3E6538F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(4)因重大变故，采购任务取消的。</w:t>
      </w:r>
    </w:p>
    <w:p w14:paraId="353607A2">
      <w:pPr>
        <w:pStyle w:val="11"/>
        <w:outlineLvl w:val="1"/>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四、开标</w:t>
      </w:r>
    </w:p>
    <w:p w14:paraId="2D07BD57">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（一）开标准备</w:t>
      </w:r>
    </w:p>
    <w:p w14:paraId="5EBAA05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采购代理机构将在规定的时间和地点进行开标，并按照招标文件规定的时间通过“政府采购云平台”组织开标、开启投标文件，所有投标人均应当准时在线参加。</w:t>
      </w:r>
    </w:p>
    <w:p w14:paraId="38E4CCC2">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（二） 电子招投标开标及评审程序 </w:t>
      </w:r>
    </w:p>
    <w:p w14:paraId="35B5642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1.开标由</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或者采购代理机构主持，邀请投标人在线参加。评标委员会成员不得参加开标活动；</w:t>
      </w:r>
    </w:p>
    <w:p w14:paraId="709E574D">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2.主持人宣布开标会议开始，并按照规定的时间通过政采云系统组织开标，所有投标人应当准时在线参加；</w:t>
      </w:r>
    </w:p>
    <w:p w14:paraId="25CCABD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.投标截止时间后，投标人应登录政采云平台，在收到电子加密投标文件【开始解密】通知后，通过“项目采购-开标评标”模块对电子投标文件进行在线解密；</w:t>
      </w:r>
    </w:p>
    <w:p w14:paraId="265EDE3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.在开标结束后（评标开始前），由</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或采购代理机构进行资格审查。资格审查后在系统上公布资格审查结果；</w:t>
      </w:r>
    </w:p>
    <w:p w14:paraId="150824B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.由评标委员会对资格审查通过的投标人进行技术、商务、资信及其他部分评审，符合性审查及评分结束后，由主持人公布无效投标的投标人名单、投标无效的原因，并在系统上公布其他有效投标的评审结果；</w:t>
      </w:r>
    </w:p>
    <w:p w14:paraId="55B209B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.由主持人在系统上公布的投标人名称及在其投标文件中承诺的投标报价、投标内容以及其他有必要宣读的内容；</w:t>
      </w:r>
    </w:p>
    <w:p w14:paraId="3067005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.报价部分符合性审查及评分结束后，由主持人公布无效投标的投标人名单、投标无效的原因，并在系统上公布其他有效投标的评分结果；</w:t>
      </w:r>
    </w:p>
    <w:p w14:paraId="11AF495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.最终在政采云系统上公布评审结果；</w:t>
      </w:r>
    </w:p>
    <w:p w14:paraId="2D2F47E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.开标会议结束。</w:t>
      </w:r>
    </w:p>
    <w:p w14:paraId="43678E9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特别说明：政采云公司如对电子化开标及评审程序有调整的，应按调整的程序操作。</w:t>
      </w:r>
    </w:p>
    <w:p w14:paraId="5B92731F">
      <w:pPr>
        <w:pStyle w:val="11"/>
        <w:outlineLvl w:val="1"/>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五</w:t>
      </w:r>
      <w:r>
        <w:rPr>
          <w:rFonts w:hint="eastAsia" w:ascii="仿宋" w:hAnsi="仿宋" w:eastAsia="仿宋" w:cs="仿宋"/>
          <w:b/>
          <w:color w:val="auto"/>
          <w:sz w:val="24"/>
          <w:szCs w:val="24"/>
          <w:highlight w:val="none"/>
        </w:rPr>
        <w:t>、评标</w:t>
      </w:r>
    </w:p>
    <w:p w14:paraId="3D06FDF5">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（一）组建评标委员会</w:t>
      </w:r>
    </w:p>
    <w:p w14:paraId="0FF0F313">
      <w:pPr>
        <w:spacing w:line="460" w:lineRule="exact"/>
        <w:ind w:firstLine="480" w:firstLineChars="200"/>
        <w:rPr>
          <w:rFonts w:ascii="仿宋" w:hAnsi="仿宋" w:eastAsia="仿宋" w:cs="宋体"/>
          <w:color w:val="auto"/>
          <w:kern w:val="0"/>
          <w:sz w:val="24"/>
          <w:highlight w:val="none"/>
        </w:rPr>
      </w:pPr>
      <w:r>
        <w:rPr>
          <w:rFonts w:hint="eastAsia" w:ascii="仿宋" w:hAnsi="仿宋" w:eastAsia="仿宋" w:cs="仿宋"/>
          <w:color w:val="auto"/>
          <w:kern w:val="0"/>
          <w:sz w:val="24"/>
          <w:highlight w:val="none"/>
        </w:rPr>
        <w:t>本项目评标委员会由政府采购评审专家及采购人代表</w:t>
      </w:r>
      <w:r>
        <w:rPr>
          <w:rFonts w:hint="eastAsia" w:ascii="仿宋" w:hAnsi="仿宋" w:eastAsia="仿宋" w:cs="仿宋"/>
          <w:color w:val="auto"/>
          <w:kern w:val="0"/>
          <w:sz w:val="24"/>
          <w:highlight w:val="none"/>
          <w:lang w:val="en-US" w:eastAsia="zh-CN"/>
        </w:rPr>
        <w:t>共5人</w:t>
      </w:r>
      <w:r>
        <w:rPr>
          <w:rFonts w:hint="eastAsia" w:ascii="仿宋" w:hAnsi="仿宋" w:eastAsia="仿宋" w:cs="仿宋"/>
          <w:color w:val="auto"/>
          <w:kern w:val="0"/>
          <w:sz w:val="24"/>
          <w:highlight w:val="none"/>
        </w:rPr>
        <w:t>组成。</w:t>
      </w:r>
    </w:p>
    <w:p w14:paraId="266C4E23">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（二）评标的方式</w:t>
      </w:r>
    </w:p>
    <w:p w14:paraId="7BD19CA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本项目采用不公开方式评标，评标的依据为招标文件和投标文件。</w:t>
      </w:r>
    </w:p>
    <w:p w14:paraId="6865384C">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（三）评标程序</w:t>
      </w:r>
    </w:p>
    <w:p w14:paraId="64A5C67F">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1.形式审查</w:t>
      </w:r>
    </w:p>
    <w:p w14:paraId="2EEC284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在开标结束后（评标开始前），</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或代理机构负责对投标人的资格和投标文件的完整性、合法性等进行审查。</w:t>
      </w:r>
    </w:p>
    <w:p w14:paraId="53C3180F">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2.实质审查与比较</w:t>
      </w:r>
    </w:p>
    <w:p w14:paraId="1F97D4E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（1）评标委员会审查投标文件的实质性内容是否符合招标文件的实质性要求。</w:t>
      </w:r>
    </w:p>
    <w:p w14:paraId="39BFF89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评标委员会将根据投标人的投标文件进行审查、核对,如有疑问,将对投标人进行询标,投标人要向评标委员会澄清有关问题,并最终以书面形式进行答复。投标人未的规定时间内澄清或者拒绝澄清或者澄清的内容改变了投标文件的实质性内容的，评标委员会有权对该投标文件做出不利于投标人的评判。</w:t>
      </w:r>
    </w:p>
    <w:p w14:paraId="65891D6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（3）评标委员会完成评标后,按评标原则推荐中标候选人同时起草评标报告。</w:t>
      </w:r>
    </w:p>
    <w:p w14:paraId="417AC51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（4）评标委员会按评标原则通过电子系统向</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及采购代理机构提交评审报告。</w:t>
      </w:r>
    </w:p>
    <w:p w14:paraId="0B95B69E">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（四）澄清问题的形式</w:t>
      </w:r>
    </w:p>
    <w:p w14:paraId="34DEA55A">
      <w:pPr>
        <w:spacing w:line="4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评审中需要投标人对投标文件作出澄清、说明或者补正的，评标委员会和投标人应当通过电子交易平台交换数据电文。给予投标人提交澄清说明或补正的时间为30分钟，投标人已经明确表示澄清说明或补正完毕的除外。</w:t>
      </w:r>
    </w:p>
    <w:p w14:paraId="5813B96E">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（五）错误修正</w:t>
      </w:r>
    </w:p>
    <w:p w14:paraId="3FE3DDA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投标文件如果出现计算或表达上的错误，修正错误的原则如下：</w:t>
      </w:r>
    </w:p>
    <w:p w14:paraId="7246FB8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1.投标文件的大写和小写不一致的，以大写为准；</w:t>
      </w:r>
    </w:p>
    <w:p w14:paraId="0145F0D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2.对不同文字文本投标文件的解释发生异议的，以中文文本为准。</w:t>
      </w:r>
    </w:p>
    <w:p w14:paraId="4A5762CF">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按上述修正错误的原则及方法调整或修正投标文件的投标报价，投标人同意并签字确认后，调整后的投标报价对投标人具有约束作用。如果投标人不接受修正后的报价，则其投标将作为无效投标处理。</w:t>
      </w:r>
    </w:p>
    <w:p w14:paraId="7466F686">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（六）评标原则和评标办法</w:t>
      </w:r>
    </w:p>
    <w:p w14:paraId="6AC1A79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评标原则。评标委员会必须公平、公正、客观，不带任何倾向性和启发性；不得向外界透露任何与评标有关的内容；任何单位和个人不得干扰、影响评标的正常进行；评标委员会及有关工作人员不得私下与投标人接触。</w:t>
      </w:r>
    </w:p>
    <w:p w14:paraId="0BAA598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2.评标办法。本项目评标办法是</w:t>
      </w:r>
      <w:r>
        <w:rPr>
          <w:rFonts w:hint="eastAsia" w:ascii="仿宋" w:hAnsi="仿宋" w:eastAsia="仿宋" w:cs="仿宋"/>
          <w:b/>
          <w:color w:val="auto"/>
          <w:kern w:val="0"/>
          <w:sz w:val="24"/>
          <w:highlight w:val="none"/>
          <w:u w:val="single"/>
        </w:rPr>
        <w:t>综合评分法</w:t>
      </w:r>
      <w:r>
        <w:rPr>
          <w:rFonts w:hint="eastAsia" w:ascii="仿宋" w:hAnsi="仿宋" w:eastAsia="仿宋" w:cs="仿宋"/>
          <w:color w:val="auto"/>
          <w:kern w:val="0"/>
          <w:sz w:val="24"/>
          <w:highlight w:val="none"/>
        </w:rPr>
        <w:t>，具体评标内容及评分标准等详见《第四章：评标办法及评分标准》。</w:t>
      </w:r>
    </w:p>
    <w:p w14:paraId="23517AC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3.评标过程中凡是属于审查、澄清、评审和比较的有关资料以及授标建议，任何人均不得向投标人或其他无关人员透露。</w:t>
      </w:r>
    </w:p>
    <w:p w14:paraId="0140095C">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（七）评标过程的监控</w:t>
      </w:r>
    </w:p>
    <w:p w14:paraId="51B7B59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本项目评标过程实行全程录音、录像监控，由湖州市公共资源交易管理办公室进行现场监督。投标人在评标过程中所进行的试图影响评标结果的不公正活动，可能导致其投标被拒绝。</w:t>
      </w:r>
    </w:p>
    <w:p w14:paraId="27A04F08">
      <w:pPr>
        <w:pStyle w:val="11"/>
        <w:outlineLvl w:val="1"/>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六、定标</w:t>
      </w:r>
    </w:p>
    <w:p w14:paraId="17207EE4">
      <w:pPr>
        <w:spacing w:line="460" w:lineRule="exact"/>
        <w:ind w:firstLine="482" w:firstLineChars="200"/>
        <w:rPr>
          <w:rFonts w:hint="eastAsia" w:ascii="仿宋" w:hAnsi="仿宋" w:eastAsia="仿宋" w:cs="仿宋"/>
          <w:b/>
          <w:color w:val="auto"/>
          <w:kern w:val="0"/>
          <w:sz w:val="24"/>
          <w:highlight w:val="none"/>
          <w:lang w:val="en-US" w:eastAsia="zh-CN"/>
        </w:rPr>
      </w:pPr>
      <w:r>
        <w:rPr>
          <w:rFonts w:hint="eastAsia" w:ascii="仿宋" w:hAnsi="仿宋" w:eastAsia="仿宋" w:cs="仿宋"/>
          <w:b/>
          <w:color w:val="auto"/>
          <w:kern w:val="0"/>
          <w:sz w:val="24"/>
          <w:highlight w:val="none"/>
        </w:rPr>
        <w:t>（一）确定中标人。本项目由</w:t>
      </w:r>
      <w:r>
        <w:rPr>
          <w:rFonts w:hint="eastAsia" w:ascii="仿宋" w:hAnsi="仿宋" w:eastAsia="仿宋" w:cs="仿宋"/>
          <w:b/>
          <w:color w:val="auto"/>
          <w:kern w:val="0"/>
          <w:sz w:val="24"/>
          <w:highlight w:val="none"/>
          <w:lang w:eastAsia="zh-CN"/>
        </w:rPr>
        <w:t>采购人</w:t>
      </w:r>
      <w:r>
        <w:rPr>
          <w:rFonts w:hint="eastAsia" w:ascii="仿宋" w:hAnsi="仿宋" w:eastAsia="仿宋" w:cs="仿宋"/>
          <w:b/>
          <w:color w:val="auto"/>
          <w:kern w:val="0"/>
          <w:sz w:val="24"/>
          <w:highlight w:val="none"/>
        </w:rPr>
        <w:t>确定中标人。</w:t>
      </w:r>
    </w:p>
    <w:p w14:paraId="3AC617F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1.评标委员会完成评审后，采购代理机构通过电子交易平台向</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提交评标报告。</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通过电子交易平台确认中标人。</w:t>
      </w:r>
    </w:p>
    <w:p w14:paraId="4D70C436">
      <w:pPr>
        <w:spacing w:line="4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2.</w:t>
      </w:r>
      <w:r>
        <w:rPr>
          <w:rFonts w:hint="eastAsia" w:ascii="仿宋" w:hAnsi="仿宋" w:eastAsia="仿宋" w:cs="仿宋"/>
          <w:color w:val="auto"/>
          <w:sz w:val="24"/>
          <w:highlight w:val="none"/>
        </w:rPr>
        <w:t>采购代理机构在评标结束后2个工作日内将评标报告交</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应当自收到评标报告之日起5个工作日内，在评标报告确定的中标候选人名单中按顺序确定中标人。中标候选人并列的，由</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或者</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委托评标委员会按照招标文件规定的方式确定中标人；招标文件未规定的，采取随机抽取的方式确定。</w:t>
      </w:r>
    </w:p>
    <w:p w14:paraId="2342FE6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在收到评标报告5个工作日内未按评标报告推荐的中标候选人顺序确定中标人，又不能说明合法理由的，视同按评标报告推荐的顺序确定排名第一的中标候选人为中标人。</w:t>
      </w:r>
    </w:p>
    <w:p w14:paraId="5858039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依法确定中标人后2个工作日内，采购代理机构、</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向中标人发出中标通知书，并同时在相关网站上发布中标结果公告。</w:t>
      </w:r>
    </w:p>
    <w:p w14:paraId="11653776">
      <w:pPr>
        <w:pStyle w:val="11"/>
        <w:outlineLvl w:val="1"/>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七、合同授予</w:t>
      </w:r>
    </w:p>
    <w:p w14:paraId="4C6584C9">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（一）签订合同</w:t>
      </w:r>
    </w:p>
    <w:p w14:paraId="1D52A6A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与中标人应当在《中标通知书》发出之日起30日内签订政府采购合同。</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通过电子交易平台与中标人签订合同，并在规定时间内依法发布合同公告。同时，采购代理机构对合同内容进行审查，如发现与采购结果和投标承诺内容不一致的，应予以纠正。</w:t>
      </w:r>
    </w:p>
    <w:p w14:paraId="3AB9A11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2.中标人拖延、拒签合同的,将被取消中标资格。</w:t>
      </w:r>
    </w:p>
    <w:p w14:paraId="3AA67028">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（二）中标通知书</w:t>
      </w:r>
    </w:p>
    <w:p w14:paraId="7E4FEE8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1.确定中标人后，采购代理机构将以书面形式发出中标通知书，通知中标的投标人其投标被接受； </w:t>
      </w:r>
    </w:p>
    <w:p w14:paraId="77689CE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2.中标通知书为双方签订合同的依据； </w:t>
      </w:r>
    </w:p>
    <w:p w14:paraId="468C830D">
      <w:pPr>
        <w:keepNext w:val="0"/>
        <w:keepLines w:val="0"/>
        <w:pageBreakBefore w:val="0"/>
        <w:widowControl w:val="0"/>
        <w:kinsoku/>
        <w:wordWrap/>
        <w:overflowPunct/>
        <w:topLinePunct w:val="0"/>
        <w:bidi w:val="0"/>
        <w:snapToGrid/>
        <w:spacing w:line="600" w:lineRule="exact"/>
        <w:ind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3.中标人应根据中标通知书中规定的时间内，由法定代表人或其授权代理人与</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签订合同。</w:t>
      </w:r>
    </w:p>
    <w:p w14:paraId="364CEAC3">
      <w:pPr>
        <w:pStyle w:val="10"/>
        <w:spacing w:before="216" w:line="375" w:lineRule="auto"/>
        <w:ind w:left="36" w:right="236" w:firstLine="477"/>
        <w:jc w:val="both"/>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rPr>
        <w:t>（三）履约保证金：</w:t>
      </w:r>
      <w:r>
        <w:rPr>
          <w:rFonts w:hint="eastAsia" w:ascii="仿宋" w:hAnsi="仿宋" w:eastAsia="仿宋" w:cs="仿宋"/>
          <w:color w:val="auto"/>
          <w:kern w:val="0"/>
          <w:sz w:val="24"/>
          <w:szCs w:val="24"/>
          <w:highlight w:val="none"/>
          <w:lang w:val="en-US" w:eastAsia="zh-CN" w:bidi="ar-SA"/>
        </w:rPr>
        <w:t>合同金额的 1%。中标人应向采购人交纳履约保证金，履约保证金待合同履行结束后 5 个工作日内视履约情况返还（缴纳形式为支票、汇票、本票、保险或者金融机构、担保机构出具的保函等非现金形式</w:t>
      </w:r>
      <w:r>
        <w:rPr>
          <w:color w:val="auto"/>
          <w:spacing w:val="-2"/>
          <w:sz w:val="24"/>
          <w:szCs w:val="24"/>
          <w:highlight w:val="none"/>
        </w:rPr>
        <w:t>）。</w:t>
      </w:r>
    </w:p>
    <w:p w14:paraId="0FAC41EF">
      <w:pPr>
        <w:pStyle w:val="11"/>
        <w:keepNext w:val="0"/>
        <w:keepLines w:val="0"/>
        <w:pageBreakBefore w:val="0"/>
        <w:widowControl w:val="0"/>
        <w:kinsoku/>
        <w:wordWrap/>
        <w:overflowPunct/>
        <w:topLinePunct w:val="0"/>
        <w:bidi w:val="0"/>
        <w:snapToGrid/>
        <w:spacing w:line="500" w:lineRule="exact"/>
        <w:textAlignment w:val="auto"/>
        <w:outlineLvl w:val="1"/>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 xml:space="preserve">八、其他内容 </w:t>
      </w:r>
    </w:p>
    <w:p w14:paraId="36EEE59B">
      <w:pPr>
        <w:keepNext w:val="0"/>
        <w:keepLines w:val="0"/>
        <w:pageBreakBefore w:val="0"/>
        <w:widowControl w:val="0"/>
        <w:kinsoku/>
        <w:wordWrap/>
        <w:overflowPunct/>
        <w:topLinePunct w:val="0"/>
        <w:bidi w:val="0"/>
        <w:snapToGrid/>
        <w:spacing w:line="500" w:lineRule="exact"/>
        <w:ind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发生下列情况之一，投标人自愿接受取消投标资格、记入信用档案、媒体通报、1-3年内禁止参与政府采购等处罚；如已中标（成交）的，自动放弃中标（成交）资格，并承担全部法律责任；给</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造成损失的，依法承担赔偿责任：</w:t>
      </w:r>
    </w:p>
    <w:p w14:paraId="09769704">
      <w:pPr>
        <w:keepNext w:val="0"/>
        <w:keepLines w:val="0"/>
        <w:pageBreakBefore w:val="0"/>
        <w:widowControl w:val="0"/>
        <w:kinsoku/>
        <w:wordWrap/>
        <w:overflowPunct/>
        <w:topLinePunct w:val="0"/>
        <w:bidi w:val="0"/>
        <w:snapToGrid/>
        <w:spacing w:line="500" w:lineRule="exact"/>
        <w:ind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1.投标人在提交投标（响应）文件截止时间后撤回投标（响应）文件的；</w:t>
      </w:r>
    </w:p>
    <w:p w14:paraId="614591FC">
      <w:pPr>
        <w:keepNext w:val="0"/>
        <w:keepLines w:val="0"/>
        <w:pageBreakBefore w:val="0"/>
        <w:widowControl w:val="0"/>
        <w:kinsoku/>
        <w:wordWrap/>
        <w:overflowPunct/>
        <w:topLinePunct w:val="0"/>
        <w:bidi w:val="0"/>
        <w:snapToGrid/>
        <w:spacing w:line="500" w:lineRule="exact"/>
        <w:ind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 投标人在投标（响应）文件中提交虚假材料的；</w:t>
      </w:r>
    </w:p>
    <w:p w14:paraId="22C5A39E">
      <w:pPr>
        <w:keepNext w:val="0"/>
        <w:keepLines w:val="0"/>
        <w:pageBreakBefore w:val="0"/>
        <w:widowControl w:val="0"/>
        <w:kinsoku/>
        <w:wordWrap/>
        <w:overflowPunct/>
        <w:topLinePunct w:val="0"/>
        <w:bidi w:val="0"/>
        <w:snapToGrid/>
        <w:spacing w:line="500" w:lineRule="exact"/>
        <w:ind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3.除因不可抗力或招标文件认可的情形以外，中标人不与</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签订合同的；</w:t>
      </w:r>
    </w:p>
    <w:p w14:paraId="186B1D15">
      <w:pPr>
        <w:keepNext w:val="0"/>
        <w:keepLines w:val="0"/>
        <w:pageBreakBefore w:val="0"/>
        <w:widowControl w:val="0"/>
        <w:kinsoku/>
        <w:wordWrap/>
        <w:overflowPunct/>
        <w:topLinePunct w:val="0"/>
        <w:bidi w:val="0"/>
        <w:snapToGrid/>
        <w:spacing w:line="500" w:lineRule="exact"/>
        <w:ind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4.投标人与</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、其他投标人或者采购代理机构恶意串通的；</w:t>
      </w:r>
    </w:p>
    <w:p w14:paraId="6BF70474">
      <w:pPr>
        <w:keepNext w:val="0"/>
        <w:keepLines w:val="0"/>
        <w:pageBreakBefore w:val="0"/>
        <w:widowControl w:val="0"/>
        <w:kinsoku/>
        <w:wordWrap/>
        <w:overflowPunct/>
        <w:topLinePunct w:val="0"/>
        <w:bidi w:val="0"/>
        <w:snapToGrid/>
        <w:spacing w:line="500" w:lineRule="exact"/>
        <w:ind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.招标文件规定的其他情形。</w:t>
      </w:r>
    </w:p>
    <w:p w14:paraId="5647F3FA">
      <w:pPr>
        <w:keepNext w:val="0"/>
        <w:keepLines w:val="0"/>
        <w:pageBreakBefore w:val="0"/>
        <w:widowControl w:val="0"/>
        <w:kinsoku/>
        <w:wordWrap/>
        <w:overflowPunct/>
        <w:topLinePunct w:val="0"/>
        <w:bidi w:val="0"/>
        <w:snapToGrid/>
        <w:spacing w:line="500" w:lineRule="exact"/>
        <w:ind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为有效破解当前中小微企业面临的“融资难、融资贵”困局，充分发挥好政府采购扶持小微企业发展的政策功能，本项目中标人可凭中标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w:t>
      </w:r>
    </w:p>
    <w:p w14:paraId="246411EB">
      <w:pPr>
        <w:pStyle w:val="3"/>
        <w:keepNext w:val="0"/>
        <w:pageBreakBefore/>
        <w:spacing w:line="360" w:lineRule="auto"/>
        <w:rPr>
          <w:rFonts w:hint="eastAsia" w:ascii="仿宋" w:hAnsi="仿宋" w:eastAsia="仿宋" w:cs="仿宋"/>
          <w:color w:val="auto"/>
          <w:sz w:val="32"/>
          <w:highlight w:val="none"/>
        </w:rPr>
      </w:pPr>
      <w:r>
        <w:rPr>
          <w:rFonts w:hint="eastAsia" w:ascii="仿宋" w:hAnsi="仿宋" w:eastAsia="仿宋" w:cs="仿宋"/>
          <w:color w:val="auto"/>
          <w:sz w:val="32"/>
          <w:highlight w:val="none"/>
          <w:lang w:val="en-US" w:eastAsia="zh-CN"/>
        </w:rPr>
        <w:t xml:space="preserve">第四章 </w:t>
      </w:r>
      <w:r>
        <w:rPr>
          <w:rFonts w:hint="eastAsia" w:ascii="仿宋" w:hAnsi="仿宋" w:eastAsia="仿宋" w:cs="仿宋"/>
          <w:color w:val="auto"/>
          <w:sz w:val="32"/>
          <w:highlight w:val="none"/>
        </w:rPr>
        <w:t>评标办法及评分标准</w:t>
      </w:r>
    </w:p>
    <w:p w14:paraId="554F3C0C">
      <w:pPr>
        <w:keepNext w:val="0"/>
        <w:keepLines w:val="0"/>
        <w:widowControl w:val="0"/>
        <w:numPr>
          <w:ilvl w:val="0"/>
          <w:numId w:val="0"/>
        </w:numPr>
        <w:kinsoku/>
        <w:wordWrap/>
        <w:overflowPunct/>
        <w:topLinePunct w:val="0"/>
        <w:autoSpaceDE/>
        <w:autoSpaceDN/>
        <w:bidi w:val="0"/>
        <w:adjustRightInd/>
        <w:spacing w:line="460" w:lineRule="exact"/>
        <w:ind w:firstLine="720" w:firstLineChars="3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为公正、公平、科学地选择中标供应商，根据《中华人民共和国政府采购法》、《政府采购货物和服务招标投标管理办法》及相关法律、法规等规定，并结合本项目的实际，制定本办法。</w:t>
      </w:r>
    </w:p>
    <w:p w14:paraId="0B27D422">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本办法适用于</w:t>
      </w:r>
      <w:r>
        <w:rPr>
          <w:rFonts w:hint="eastAsia" w:ascii="仿宋" w:hAnsi="仿宋" w:eastAsia="仿宋" w:cs="仿宋"/>
          <w:b w:val="0"/>
          <w:bCs/>
          <w:i w:val="0"/>
          <w:iCs w:val="0"/>
          <w:caps w:val="0"/>
          <w:color w:val="auto"/>
          <w:spacing w:val="0"/>
          <w:kern w:val="2"/>
          <w:sz w:val="24"/>
          <w:szCs w:val="24"/>
          <w:highlight w:val="none"/>
          <w:u w:val="single"/>
          <w:lang w:val="en-US" w:eastAsia="zh-CN" w:bidi="ar-SA"/>
        </w:rPr>
        <w:t>湖州南太湖新区道路交通安全隐患综合治理服务项目（2025-2026年度）</w:t>
      </w:r>
      <w:r>
        <w:rPr>
          <w:rFonts w:hint="eastAsia" w:ascii="仿宋" w:hAnsi="仿宋" w:eastAsia="仿宋" w:cs="仿宋"/>
          <w:color w:val="auto"/>
          <w:kern w:val="0"/>
          <w:sz w:val="24"/>
          <w:szCs w:val="24"/>
          <w:highlight w:val="none"/>
        </w:rPr>
        <w:t>招标项目的评标。</w:t>
      </w:r>
    </w:p>
    <w:bookmarkEnd w:id="8"/>
    <w:bookmarkEnd w:id="9"/>
    <w:p w14:paraId="75F795F9">
      <w:pPr>
        <w:pStyle w:val="11"/>
        <w:ind w:firstLine="482" w:firstLineChars="200"/>
        <w:outlineLvl w:val="1"/>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一、总则</w:t>
      </w:r>
    </w:p>
    <w:p w14:paraId="4335E6ED">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项目分2个标项进行采购，2个标项同时开标，评标顺序按标项顺序，符合条件的供应商允许多个标项报名并进行多个标项评审，但同一供应商最多只能中标1个标项，中标顺序按评标顺序。本次评标采用综合评分法，总分为100分，其中价格分</w:t>
      </w:r>
      <w:r>
        <w:rPr>
          <w:rFonts w:hint="eastAsia" w:ascii="仿宋" w:hAnsi="仿宋" w:eastAsia="仿宋" w:cs="仿宋"/>
          <w:color w:val="auto"/>
          <w:kern w:val="0"/>
          <w:sz w:val="24"/>
          <w:szCs w:val="24"/>
          <w:highlight w:val="none"/>
          <w:lang w:val="en-US" w:eastAsia="zh-CN"/>
        </w:rPr>
        <w:t>20</w:t>
      </w:r>
      <w:r>
        <w:rPr>
          <w:rFonts w:hint="eastAsia" w:ascii="仿宋" w:hAnsi="仿宋" w:eastAsia="仿宋" w:cs="仿宋"/>
          <w:color w:val="auto"/>
          <w:kern w:val="0"/>
          <w:sz w:val="24"/>
          <w:szCs w:val="24"/>
          <w:highlight w:val="none"/>
        </w:rPr>
        <w:t>分、技术分、商务分和资信及其他部分</w:t>
      </w:r>
      <w:r>
        <w:rPr>
          <w:rFonts w:hint="eastAsia" w:ascii="仿宋" w:hAnsi="仿宋" w:eastAsia="仿宋" w:cs="仿宋"/>
          <w:color w:val="auto"/>
          <w:kern w:val="0"/>
          <w:sz w:val="24"/>
          <w:szCs w:val="24"/>
          <w:highlight w:val="none"/>
          <w:lang w:val="en-US" w:eastAsia="zh-CN"/>
        </w:rPr>
        <w:t>80</w:t>
      </w:r>
      <w:r>
        <w:rPr>
          <w:rFonts w:hint="eastAsia" w:ascii="仿宋" w:hAnsi="仿宋" w:eastAsia="仿宋" w:cs="仿宋"/>
          <w:color w:val="auto"/>
          <w:kern w:val="0"/>
          <w:sz w:val="24"/>
          <w:szCs w:val="24"/>
          <w:highlight w:val="none"/>
        </w:rPr>
        <w:t>分。合格供应商的评标得分为各项目汇总得分。中标候选资格按评标得分由高到低顺序排列，得分相同的，按投标报价由低到高顺序排列；得分且投标报价相同的，按技术得分由高到低顺序排列。排名第一的供应商为第一中标候选供应商,其他供应商中标候选资格依此类推。第一中标候选供应商放弃中标或者因不可抗力提出不能履行合同，采购人可以确定第二中标候选供应商为中标供应商，排名第二的中标候选供应商因前款同样的原因不能签订合同，采购人可以确定排名第三的中标候选供应商为中标供应商。评分过程中采用四舍五入法，并保留小数2位。</w:t>
      </w:r>
    </w:p>
    <w:p w14:paraId="688DC9BE">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各供应商最终得分=技术分、商务分和资信及其他分得分+价格分得分</w:t>
      </w:r>
    </w:p>
    <w:p w14:paraId="53FF3FCE">
      <w:pPr>
        <w:keepNext w:val="0"/>
        <w:keepLines w:val="0"/>
        <w:widowControl w:val="0"/>
        <w:kinsoku/>
        <w:wordWrap/>
        <w:overflowPunct/>
        <w:topLinePunct w:val="0"/>
        <w:autoSpaceDE/>
        <w:autoSpaceDN/>
        <w:bidi w:val="0"/>
        <w:adjustRightInd/>
        <w:spacing w:line="460" w:lineRule="exact"/>
        <w:ind w:firstLine="482" w:firstLineChars="200"/>
        <w:textAlignment w:val="auto"/>
        <w:rPr>
          <w:rFonts w:hint="eastAsia" w:ascii="仿宋" w:hAnsi="仿宋" w:eastAsia="仿宋" w:cs="仿宋"/>
          <w:b/>
          <w:bCs/>
          <w:color w:val="auto"/>
          <w:kern w:val="0"/>
          <w:sz w:val="24"/>
          <w:szCs w:val="24"/>
          <w:highlight w:val="none"/>
          <w:lang w:eastAsia="zh-CN"/>
        </w:rPr>
      </w:pPr>
      <w:r>
        <w:rPr>
          <w:rFonts w:hint="eastAsia" w:ascii="仿宋" w:hAnsi="仿宋" w:eastAsia="仿宋" w:cs="仿宋"/>
          <w:b/>
          <w:bCs/>
          <w:color w:val="auto"/>
          <w:kern w:val="0"/>
          <w:sz w:val="24"/>
          <w:szCs w:val="24"/>
          <w:highlight w:val="none"/>
          <w:lang w:eastAsia="zh-CN"/>
        </w:rPr>
        <w:t>二、评标内容及标准（</w:t>
      </w:r>
      <w:r>
        <w:rPr>
          <w:rFonts w:hint="eastAsia" w:ascii="仿宋" w:hAnsi="仿宋" w:eastAsia="仿宋" w:cs="仿宋"/>
          <w:b/>
          <w:bCs/>
          <w:color w:val="auto"/>
          <w:kern w:val="0"/>
          <w:sz w:val="24"/>
          <w:szCs w:val="24"/>
          <w:highlight w:val="none"/>
          <w:lang w:val="en-US" w:eastAsia="zh-CN"/>
        </w:rPr>
        <w:t>适用于标项1和标项2</w:t>
      </w:r>
      <w:r>
        <w:rPr>
          <w:rFonts w:hint="eastAsia" w:ascii="仿宋" w:hAnsi="仿宋" w:eastAsia="仿宋" w:cs="仿宋"/>
          <w:b/>
          <w:bCs/>
          <w:color w:val="auto"/>
          <w:kern w:val="0"/>
          <w:sz w:val="24"/>
          <w:szCs w:val="24"/>
          <w:highlight w:val="none"/>
          <w:lang w:eastAsia="zh-CN"/>
        </w:rPr>
        <w:t xml:space="preserve">） </w:t>
      </w:r>
    </w:p>
    <w:p w14:paraId="58A557C0">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（1）价格分</w:t>
      </w:r>
      <w:r>
        <w:rPr>
          <w:rFonts w:hint="eastAsia" w:ascii="仿宋" w:hAnsi="仿宋" w:eastAsia="仿宋" w:cs="仿宋"/>
          <w:color w:val="auto"/>
          <w:kern w:val="0"/>
          <w:sz w:val="24"/>
          <w:szCs w:val="24"/>
          <w:highlight w:val="none"/>
          <w:lang w:val="en-US" w:eastAsia="zh-CN"/>
        </w:rPr>
        <w:t>20</w:t>
      </w:r>
      <w:r>
        <w:rPr>
          <w:rFonts w:hint="eastAsia" w:ascii="仿宋" w:hAnsi="仿宋" w:eastAsia="仿宋" w:cs="仿宋"/>
          <w:color w:val="auto"/>
          <w:kern w:val="0"/>
          <w:sz w:val="24"/>
          <w:szCs w:val="24"/>
          <w:highlight w:val="none"/>
        </w:rPr>
        <w:t>分</w:t>
      </w:r>
    </w:p>
    <w:p w14:paraId="465CBD44">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价格分采用低价优先法计算，即满足招标文件要求且投标报价最低的投标报价为评标基准价，其他供应商的价格分按照下列公式计算：</w:t>
      </w:r>
    </w:p>
    <w:p w14:paraId="1F39CD21">
      <w:pPr>
        <w:keepNext w:val="0"/>
        <w:keepLines w:val="0"/>
        <w:widowControl w:val="0"/>
        <w:kinsoku/>
        <w:wordWrap/>
        <w:overflowPunct/>
        <w:topLinePunct w:val="0"/>
        <w:autoSpaceDE/>
        <w:autoSpaceDN/>
        <w:bidi w:val="0"/>
        <w:adjustRightInd/>
        <w:spacing w:line="460" w:lineRule="exact"/>
        <w:ind w:firstLine="482"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价格分=（评标基准价/投标报价）×</w:t>
      </w:r>
      <w:r>
        <w:rPr>
          <w:rFonts w:hint="eastAsia" w:ascii="仿宋" w:hAnsi="仿宋" w:eastAsia="仿宋" w:cs="仿宋"/>
          <w:b/>
          <w:color w:val="auto"/>
          <w:kern w:val="0"/>
          <w:sz w:val="24"/>
          <w:szCs w:val="24"/>
          <w:highlight w:val="none"/>
          <w:lang w:val="en-US" w:eastAsia="zh-CN"/>
        </w:rPr>
        <w:t>20</w:t>
      </w:r>
      <w:r>
        <w:rPr>
          <w:rFonts w:hint="eastAsia" w:ascii="仿宋" w:hAnsi="仿宋" w:eastAsia="仿宋" w:cs="仿宋"/>
          <w:b/>
          <w:color w:val="auto"/>
          <w:kern w:val="0"/>
          <w:sz w:val="24"/>
          <w:szCs w:val="24"/>
          <w:highlight w:val="none"/>
        </w:rPr>
        <w:t>%×100</w:t>
      </w:r>
    </w:p>
    <w:p w14:paraId="229BCC3F">
      <w:pPr>
        <w:keepNext w:val="0"/>
        <w:keepLines w:val="0"/>
        <w:widowControl w:val="0"/>
        <w:kinsoku/>
        <w:wordWrap/>
        <w:overflowPunct/>
        <w:topLinePunct w:val="0"/>
        <w:autoSpaceDE/>
        <w:autoSpaceDN/>
        <w:bidi w:val="0"/>
        <w:adjustRightInd/>
        <w:spacing w:line="460" w:lineRule="exact"/>
        <w:ind w:firstLine="482"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（2）技术分、商务分、资信及其他分</w:t>
      </w:r>
      <w:r>
        <w:rPr>
          <w:rFonts w:hint="eastAsia" w:ascii="仿宋" w:hAnsi="仿宋" w:eastAsia="仿宋" w:cs="仿宋"/>
          <w:b/>
          <w:color w:val="auto"/>
          <w:kern w:val="0"/>
          <w:sz w:val="24"/>
          <w:szCs w:val="24"/>
          <w:highlight w:val="none"/>
          <w:lang w:val="en-US" w:eastAsia="zh-CN"/>
        </w:rPr>
        <w:t>80</w:t>
      </w:r>
      <w:r>
        <w:rPr>
          <w:rFonts w:hint="eastAsia" w:ascii="仿宋" w:hAnsi="仿宋" w:eastAsia="仿宋" w:cs="仿宋"/>
          <w:b/>
          <w:color w:val="auto"/>
          <w:kern w:val="0"/>
          <w:sz w:val="24"/>
          <w:szCs w:val="24"/>
          <w:highlight w:val="none"/>
        </w:rPr>
        <w:t>分</w:t>
      </w:r>
    </w:p>
    <w:p w14:paraId="6C0A476A">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技术、商务、资信及其他分按照评标委员会成员的独立评分结果汇总数的算术平均分计算，计算公式为：</w:t>
      </w:r>
    </w:p>
    <w:p w14:paraId="0BDF5C1C">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color w:val="auto"/>
          <w:highlight w:val="none"/>
        </w:rPr>
      </w:pPr>
      <w:r>
        <w:rPr>
          <w:rFonts w:hint="eastAsia" w:ascii="仿宋" w:hAnsi="仿宋" w:eastAsia="仿宋" w:cs="仿宋"/>
          <w:color w:val="auto"/>
          <w:kern w:val="0"/>
          <w:sz w:val="24"/>
          <w:szCs w:val="24"/>
          <w:highlight w:val="none"/>
        </w:rPr>
        <w:t>技术分、商务分、资信及其他分=（评标委员会所有成员评分合计数）/（评标委员会组成人员数）</w:t>
      </w:r>
    </w:p>
    <w:p w14:paraId="7A16F68E">
      <w:pPr>
        <w:pStyle w:val="7"/>
        <w:ind w:left="0" w:leftChars="0" w:firstLine="0" w:firstLineChars="0"/>
        <w:rPr>
          <w:rFonts w:hint="eastAsia"/>
          <w:color w:val="auto"/>
          <w:highlight w:val="none"/>
        </w:rPr>
      </w:pPr>
    </w:p>
    <w:p w14:paraId="56F1F135">
      <w:pPr>
        <w:outlineLvl w:val="0"/>
        <w:rPr>
          <w:rFonts w:hint="eastAsia" w:ascii="仿宋" w:hAnsi="仿宋" w:eastAsia="仿宋" w:cs="仿宋"/>
          <w:color w:val="auto"/>
          <w:highlight w:val="none"/>
        </w:rPr>
      </w:pPr>
      <w:r>
        <w:rPr>
          <w:rFonts w:hint="eastAsia" w:ascii="仿宋" w:hAnsi="仿宋" w:eastAsia="仿宋" w:cs="仿宋"/>
          <w:b/>
          <w:color w:val="auto"/>
          <w:kern w:val="0"/>
          <w:sz w:val="24"/>
          <w:szCs w:val="24"/>
          <w:highlight w:val="none"/>
        </w:rPr>
        <w:t>附件：评分表格式（技术、商务、资信及其他分，共</w:t>
      </w:r>
      <w:r>
        <w:rPr>
          <w:rFonts w:hint="eastAsia" w:ascii="仿宋" w:hAnsi="仿宋" w:eastAsia="仿宋" w:cs="仿宋"/>
          <w:b/>
          <w:color w:val="auto"/>
          <w:kern w:val="0"/>
          <w:sz w:val="24"/>
          <w:szCs w:val="24"/>
          <w:highlight w:val="none"/>
          <w:lang w:val="en-US" w:eastAsia="zh-CN"/>
        </w:rPr>
        <w:t>80</w:t>
      </w:r>
      <w:r>
        <w:rPr>
          <w:rFonts w:hint="eastAsia" w:ascii="仿宋" w:hAnsi="仿宋" w:eastAsia="仿宋" w:cs="仿宋"/>
          <w:b/>
          <w:color w:val="auto"/>
          <w:kern w:val="0"/>
          <w:sz w:val="24"/>
          <w:szCs w:val="24"/>
          <w:highlight w:val="none"/>
        </w:rPr>
        <w:t>分）</w:t>
      </w:r>
    </w:p>
    <w:tbl>
      <w:tblPr>
        <w:tblStyle w:val="24"/>
        <w:tblW w:w="9770" w:type="dxa"/>
        <w:jc w:val="center"/>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389"/>
        <w:gridCol w:w="6863"/>
        <w:gridCol w:w="820"/>
      </w:tblGrid>
      <w:tr w14:paraId="2F6EA706">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98" w:type="dxa"/>
            <w:tcBorders>
              <w:tl2br w:val="nil"/>
              <w:tr2bl w:val="nil"/>
            </w:tcBorders>
            <w:vAlign w:val="center"/>
          </w:tcPr>
          <w:p w14:paraId="326B8E60">
            <w:pPr>
              <w:widowControl/>
              <w:tabs>
                <w:tab w:val="left" w:pos="0"/>
                <w:tab w:val="left" w:pos="993"/>
                <w:tab w:val="left" w:pos="1134"/>
              </w:tabs>
              <w:snapToGrid w:val="0"/>
              <w:spacing w:line="420" w:lineRule="exact"/>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序号</w:t>
            </w:r>
          </w:p>
        </w:tc>
        <w:tc>
          <w:tcPr>
            <w:tcW w:w="1389" w:type="dxa"/>
            <w:tcBorders>
              <w:tl2br w:val="nil"/>
              <w:tr2bl w:val="nil"/>
            </w:tcBorders>
            <w:vAlign w:val="center"/>
          </w:tcPr>
          <w:p w14:paraId="0E1CC30D">
            <w:pPr>
              <w:widowControl/>
              <w:tabs>
                <w:tab w:val="left" w:pos="0"/>
                <w:tab w:val="left" w:pos="993"/>
                <w:tab w:val="left" w:pos="1134"/>
              </w:tabs>
              <w:snapToGrid w:val="0"/>
              <w:spacing w:line="420" w:lineRule="exact"/>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评分内容</w:t>
            </w:r>
          </w:p>
        </w:tc>
        <w:tc>
          <w:tcPr>
            <w:tcW w:w="6863" w:type="dxa"/>
            <w:tcBorders>
              <w:tl2br w:val="nil"/>
              <w:tr2bl w:val="nil"/>
            </w:tcBorders>
            <w:vAlign w:val="center"/>
          </w:tcPr>
          <w:p w14:paraId="2A89DD1F">
            <w:pPr>
              <w:widowControl/>
              <w:tabs>
                <w:tab w:val="left" w:pos="0"/>
                <w:tab w:val="left" w:pos="993"/>
                <w:tab w:val="left" w:pos="1134"/>
              </w:tabs>
              <w:snapToGrid w:val="0"/>
              <w:spacing w:line="420" w:lineRule="exact"/>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评分标准</w:t>
            </w:r>
          </w:p>
        </w:tc>
        <w:tc>
          <w:tcPr>
            <w:tcW w:w="820" w:type="dxa"/>
            <w:tcBorders>
              <w:tl2br w:val="nil"/>
              <w:tr2bl w:val="nil"/>
            </w:tcBorders>
            <w:vAlign w:val="center"/>
          </w:tcPr>
          <w:p w14:paraId="6209A102">
            <w:pPr>
              <w:widowControl/>
              <w:tabs>
                <w:tab w:val="left" w:pos="0"/>
                <w:tab w:val="left" w:pos="993"/>
                <w:tab w:val="left" w:pos="1134"/>
              </w:tabs>
              <w:snapToGrid w:val="0"/>
              <w:spacing w:line="420" w:lineRule="exact"/>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分值</w:t>
            </w:r>
          </w:p>
        </w:tc>
      </w:tr>
      <w:tr w14:paraId="537B75EE">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8" w:type="dxa"/>
            <w:tcBorders>
              <w:tl2br w:val="nil"/>
              <w:tr2bl w:val="nil"/>
            </w:tcBorders>
            <w:vAlign w:val="center"/>
          </w:tcPr>
          <w:p w14:paraId="359491BC">
            <w:pPr>
              <w:widowControl/>
              <w:tabs>
                <w:tab w:val="left" w:pos="0"/>
                <w:tab w:val="left" w:pos="993"/>
                <w:tab w:val="left" w:pos="1134"/>
              </w:tabs>
              <w:snapToGrid w:val="0"/>
              <w:spacing w:line="420" w:lineRule="exact"/>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一</w:t>
            </w:r>
          </w:p>
        </w:tc>
        <w:tc>
          <w:tcPr>
            <w:tcW w:w="8252" w:type="dxa"/>
            <w:gridSpan w:val="2"/>
            <w:tcBorders>
              <w:tl2br w:val="nil"/>
              <w:tr2bl w:val="nil"/>
            </w:tcBorders>
            <w:vAlign w:val="center"/>
          </w:tcPr>
          <w:p w14:paraId="75A44947">
            <w:pPr>
              <w:widowControl/>
              <w:tabs>
                <w:tab w:val="left" w:pos="0"/>
                <w:tab w:val="left" w:pos="993"/>
                <w:tab w:val="left" w:pos="1134"/>
              </w:tabs>
              <w:snapToGrid w:val="0"/>
              <w:spacing w:line="420" w:lineRule="exact"/>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技术分</w:t>
            </w:r>
          </w:p>
        </w:tc>
        <w:tc>
          <w:tcPr>
            <w:tcW w:w="820" w:type="dxa"/>
            <w:tcBorders>
              <w:tl2br w:val="nil"/>
              <w:tr2bl w:val="nil"/>
            </w:tcBorders>
            <w:vAlign w:val="center"/>
          </w:tcPr>
          <w:p w14:paraId="30FAC9AA">
            <w:pPr>
              <w:widowControl/>
              <w:tabs>
                <w:tab w:val="left" w:pos="0"/>
                <w:tab w:val="left" w:pos="993"/>
                <w:tab w:val="left" w:pos="1134"/>
              </w:tabs>
              <w:snapToGrid w:val="0"/>
              <w:spacing w:line="420" w:lineRule="exact"/>
              <w:jc w:val="center"/>
              <w:rPr>
                <w:rFonts w:hint="eastAsia" w:ascii="仿宋" w:hAnsi="仿宋" w:eastAsia="仿宋" w:cs="仿宋"/>
                <w:b/>
                <w:color w:val="auto"/>
                <w:kern w:val="0"/>
                <w:sz w:val="24"/>
                <w:highlight w:val="none"/>
                <w:lang w:val="en-US" w:eastAsia="zh-CN"/>
              </w:rPr>
            </w:pPr>
            <w:r>
              <w:rPr>
                <w:rFonts w:hint="eastAsia" w:ascii="仿宋" w:hAnsi="仿宋" w:eastAsia="仿宋" w:cs="仿宋"/>
                <w:b/>
                <w:color w:val="auto"/>
                <w:kern w:val="0"/>
                <w:sz w:val="24"/>
                <w:highlight w:val="none"/>
                <w:lang w:val="en-US" w:eastAsia="zh-CN"/>
              </w:rPr>
              <w:t>62分</w:t>
            </w:r>
          </w:p>
        </w:tc>
      </w:tr>
      <w:tr w14:paraId="7CF972DB">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8" w:type="dxa"/>
            <w:tcBorders>
              <w:tl2br w:val="nil"/>
              <w:tr2bl w:val="nil"/>
            </w:tcBorders>
            <w:vAlign w:val="center"/>
          </w:tcPr>
          <w:p w14:paraId="2153A841">
            <w:pPr>
              <w:widowControl/>
              <w:tabs>
                <w:tab w:val="left" w:pos="0"/>
                <w:tab w:val="left" w:pos="993"/>
                <w:tab w:val="left" w:pos="1134"/>
              </w:tabs>
              <w:snapToGrid w:val="0"/>
              <w:spacing w:line="420" w:lineRule="exact"/>
              <w:jc w:val="center"/>
              <w:rPr>
                <w:rFonts w:hint="eastAsia" w:ascii="仿宋" w:hAnsi="仿宋" w:eastAsia="仿宋" w:cs="仿宋"/>
                <w:bCs/>
                <w:color w:val="auto"/>
                <w:kern w:val="0"/>
                <w:sz w:val="24"/>
                <w:highlight w:val="none"/>
                <w:lang w:val="en-US" w:eastAsia="zh-CN"/>
              </w:rPr>
            </w:pPr>
            <w:r>
              <w:rPr>
                <w:rFonts w:hint="eastAsia" w:ascii="仿宋" w:hAnsi="仿宋" w:eastAsia="仿宋" w:cs="仿宋"/>
                <w:bCs/>
                <w:color w:val="auto"/>
                <w:kern w:val="0"/>
                <w:sz w:val="24"/>
                <w:highlight w:val="none"/>
                <w:lang w:val="en-US" w:eastAsia="zh-CN"/>
              </w:rPr>
              <w:t>1</w:t>
            </w:r>
          </w:p>
        </w:tc>
        <w:tc>
          <w:tcPr>
            <w:tcW w:w="1389" w:type="dxa"/>
            <w:tcBorders>
              <w:tl2br w:val="nil"/>
              <w:tr2bl w:val="nil"/>
            </w:tcBorders>
            <w:vAlign w:val="center"/>
          </w:tcPr>
          <w:p w14:paraId="5561C1C6">
            <w:pPr>
              <w:tabs>
                <w:tab w:val="left" w:pos="1080"/>
              </w:tabs>
              <w:spacing w:line="420" w:lineRule="exact"/>
              <w:jc w:val="center"/>
              <w:rPr>
                <w:rFonts w:hint="eastAsia" w:ascii="仿宋" w:hAnsi="仿宋" w:eastAsia="仿宋" w:cs="仿宋"/>
                <w:b/>
                <w:color w:val="auto"/>
                <w:kern w:val="0"/>
                <w:sz w:val="24"/>
                <w:highlight w:val="none"/>
                <w:lang w:val="en-US" w:eastAsia="zh-CN"/>
              </w:rPr>
            </w:pPr>
            <w:r>
              <w:rPr>
                <w:rFonts w:hint="eastAsia" w:ascii="仿宋" w:hAnsi="仿宋" w:eastAsia="仿宋" w:cs="仿宋"/>
                <w:b/>
                <w:color w:val="auto"/>
                <w:kern w:val="0"/>
                <w:sz w:val="24"/>
                <w:highlight w:val="none"/>
              </w:rPr>
              <w:t>施工组织设计</w:t>
            </w:r>
            <w:r>
              <w:rPr>
                <w:rFonts w:hint="eastAsia" w:ascii="仿宋" w:hAnsi="仿宋" w:eastAsia="仿宋" w:cs="仿宋"/>
                <w:b/>
                <w:color w:val="auto"/>
                <w:kern w:val="0"/>
                <w:sz w:val="24"/>
                <w:highlight w:val="none"/>
                <w:lang w:val="en-US" w:eastAsia="zh-CN"/>
              </w:rPr>
              <w:t>方案</w:t>
            </w:r>
          </w:p>
        </w:tc>
        <w:tc>
          <w:tcPr>
            <w:tcW w:w="6863" w:type="dxa"/>
            <w:tcBorders>
              <w:tl2br w:val="nil"/>
              <w:tr2bl w:val="nil"/>
            </w:tcBorders>
            <w:vAlign w:val="center"/>
          </w:tcPr>
          <w:p w14:paraId="45DEC61D">
            <w:pPr>
              <w:numPr>
                <w:ilvl w:val="0"/>
                <w:numId w:val="7"/>
              </w:numPr>
              <w:spacing w:line="360" w:lineRule="auto"/>
              <w:ind w:firstLine="240" w:firstLineChars="100"/>
              <w:rPr>
                <w:rFonts w:hint="eastAsia" w:ascii="仿宋" w:hAnsi="仿宋" w:eastAsia="仿宋" w:cs="仿宋"/>
                <w:color w:val="auto"/>
                <w:sz w:val="24"/>
                <w:highlight w:val="none"/>
              </w:rPr>
            </w:pPr>
            <w:r>
              <w:rPr>
                <w:rFonts w:hint="eastAsia" w:ascii="仿宋" w:hAnsi="仿宋" w:eastAsia="仿宋" w:cs="仿宋"/>
                <w:bCs/>
                <w:color w:val="auto"/>
                <w:sz w:val="24"/>
                <w:highlight w:val="none"/>
              </w:rPr>
              <w:t>施工技术方案及关键部位技术措施编制合理、清晰、施工技术方案中编制依据、技术措施等完全符合本项目、关键部位技术措施内容详尽的得8分，</w:t>
            </w:r>
            <w:r>
              <w:rPr>
                <w:rFonts w:hint="eastAsia" w:ascii="仿宋" w:hAnsi="仿宋" w:eastAsia="仿宋" w:cs="仿宋"/>
                <w:color w:val="auto"/>
                <w:sz w:val="24"/>
                <w:highlight w:val="none"/>
              </w:rPr>
              <w:t>方案存在欠缺，或不符合本项目需求的每</w:t>
            </w:r>
            <w:r>
              <w:rPr>
                <w:rFonts w:hint="eastAsia" w:ascii="仿宋" w:hAnsi="仿宋" w:eastAsia="仿宋" w:cs="仿宋"/>
                <w:color w:val="auto"/>
                <w:sz w:val="24"/>
                <w:highlight w:val="none"/>
                <w:lang w:val="en-US" w:eastAsia="zh-CN"/>
              </w:rPr>
              <w:t>处</w:t>
            </w:r>
            <w:r>
              <w:rPr>
                <w:rFonts w:hint="eastAsia" w:ascii="仿宋" w:hAnsi="仿宋" w:eastAsia="仿宋" w:cs="仿宋"/>
                <w:color w:val="auto"/>
                <w:sz w:val="24"/>
                <w:highlight w:val="none"/>
              </w:rPr>
              <w:t>扣1分，扣完为止。未提供不得分。</w:t>
            </w:r>
          </w:p>
          <w:p w14:paraId="1B317B8B">
            <w:pPr>
              <w:numPr>
                <w:ilvl w:val="0"/>
                <w:numId w:val="7"/>
              </w:numPr>
              <w:spacing w:line="360" w:lineRule="auto"/>
              <w:ind w:firstLine="240" w:firstLineChars="1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工程质量保证措施编制合理、清晰、科学、有效、符合实际及项目需求的得8分，质量保证措施编制</w:t>
            </w:r>
            <w:r>
              <w:rPr>
                <w:rFonts w:hint="eastAsia" w:ascii="仿宋" w:hAnsi="仿宋" w:eastAsia="仿宋" w:cs="仿宋"/>
                <w:color w:val="auto"/>
                <w:sz w:val="24"/>
                <w:highlight w:val="none"/>
              </w:rPr>
              <w:t>方案存在欠缺，或不符合本项目需求的每</w:t>
            </w:r>
            <w:r>
              <w:rPr>
                <w:rFonts w:hint="eastAsia" w:ascii="仿宋" w:hAnsi="仿宋" w:eastAsia="仿宋" w:cs="仿宋"/>
                <w:color w:val="auto"/>
                <w:sz w:val="24"/>
                <w:highlight w:val="none"/>
                <w:lang w:val="en-US" w:eastAsia="zh-CN"/>
              </w:rPr>
              <w:t>处</w:t>
            </w:r>
            <w:r>
              <w:rPr>
                <w:rFonts w:hint="eastAsia" w:ascii="仿宋" w:hAnsi="仿宋" w:eastAsia="仿宋" w:cs="仿宋"/>
                <w:color w:val="auto"/>
                <w:sz w:val="24"/>
                <w:highlight w:val="none"/>
              </w:rPr>
              <w:t>扣1分，扣完为止。未提供不得分。</w:t>
            </w:r>
          </w:p>
          <w:p w14:paraId="43236335">
            <w:pPr>
              <w:numPr>
                <w:ilvl w:val="0"/>
                <w:numId w:val="7"/>
              </w:numPr>
              <w:spacing w:line="360" w:lineRule="auto"/>
              <w:ind w:firstLine="240" w:firstLineChars="100"/>
              <w:rPr>
                <w:rFonts w:hint="eastAsia" w:ascii="仿宋" w:hAnsi="仿宋" w:eastAsia="仿宋" w:cs="仿宋"/>
                <w:color w:val="auto"/>
                <w:sz w:val="24"/>
                <w:highlight w:val="none"/>
              </w:rPr>
            </w:pPr>
            <w:r>
              <w:rPr>
                <w:rFonts w:hint="eastAsia" w:ascii="仿宋" w:hAnsi="仿宋" w:eastAsia="仿宋" w:cs="仿宋"/>
                <w:bCs/>
                <w:color w:val="auto"/>
                <w:sz w:val="24"/>
                <w:highlight w:val="none"/>
              </w:rPr>
              <w:t>施工现场平面布置图清晰、合理、满足项目实际施工需要的得7分，施工现场平面布置图编制</w:t>
            </w:r>
            <w:r>
              <w:rPr>
                <w:rFonts w:hint="eastAsia" w:ascii="仿宋" w:hAnsi="仿宋" w:eastAsia="仿宋" w:cs="仿宋"/>
                <w:color w:val="auto"/>
                <w:sz w:val="24"/>
                <w:highlight w:val="none"/>
              </w:rPr>
              <w:t>存在欠缺，或不符合本项目需求的每</w:t>
            </w:r>
            <w:r>
              <w:rPr>
                <w:rFonts w:hint="eastAsia" w:ascii="仿宋" w:hAnsi="仿宋" w:eastAsia="仿宋" w:cs="仿宋"/>
                <w:color w:val="auto"/>
                <w:sz w:val="24"/>
                <w:highlight w:val="none"/>
                <w:lang w:val="en-US" w:eastAsia="zh-CN"/>
              </w:rPr>
              <w:t>处</w:t>
            </w:r>
            <w:r>
              <w:rPr>
                <w:rFonts w:hint="eastAsia" w:ascii="仿宋" w:hAnsi="仿宋" w:eastAsia="仿宋" w:cs="仿宋"/>
                <w:color w:val="auto"/>
                <w:sz w:val="24"/>
                <w:highlight w:val="none"/>
              </w:rPr>
              <w:t>扣1分，扣完为止。未提供不得分。</w:t>
            </w:r>
          </w:p>
          <w:p w14:paraId="377B8C67">
            <w:pPr>
              <w:spacing w:line="360" w:lineRule="auto"/>
              <w:ind w:firstLine="240" w:firstLineChars="1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4、对本项目重点难点的解析以及有效的改进措施和合理化建议</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有效建议和措施每项得1分，最高得6分。</w:t>
            </w:r>
          </w:p>
          <w:p w14:paraId="14278ABB">
            <w:pPr>
              <w:numPr>
                <w:ilvl w:val="0"/>
                <w:numId w:val="0"/>
              </w:numPr>
              <w:spacing w:line="360" w:lineRule="auto"/>
              <w:ind w:firstLine="240" w:firstLineChars="100"/>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val="en-US" w:eastAsia="zh-CN"/>
              </w:rPr>
              <w:t>5、</w:t>
            </w:r>
            <w:r>
              <w:rPr>
                <w:rFonts w:hint="eastAsia" w:ascii="仿宋" w:hAnsi="仿宋" w:eastAsia="仿宋" w:cs="仿宋"/>
                <w:bCs/>
                <w:color w:val="auto"/>
                <w:sz w:val="24"/>
                <w:highlight w:val="none"/>
              </w:rPr>
              <w:t>施工工期保证措施编制合理、清晰、符合实际及项目需求、且有网络图、能直观体现项目工序安排的得</w:t>
            </w: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分，保证措施编制有欠缺，</w:t>
            </w:r>
            <w:r>
              <w:rPr>
                <w:rFonts w:hint="eastAsia" w:ascii="仿宋" w:hAnsi="仿宋" w:eastAsia="仿宋" w:cs="仿宋"/>
                <w:color w:val="auto"/>
                <w:sz w:val="24"/>
                <w:highlight w:val="none"/>
              </w:rPr>
              <w:t>或不符合本项目需求的每</w:t>
            </w:r>
            <w:r>
              <w:rPr>
                <w:rFonts w:hint="eastAsia" w:ascii="仿宋" w:hAnsi="仿宋" w:eastAsia="仿宋" w:cs="仿宋"/>
                <w:color w:val="auto"/>
                <w:sz w:val="24"/>
                <w:highlight w:val="none"/>
                <w:lang w:val="en-US" w:eastAsia="zh-CN"/>
              </w:rPr>
              <w:t>处</w:t>
            </w:r>
            <w:r>
              <w:rPr>
                <w:rFonts w:hint="eastAsia" w:ascii="仿宋" w:hAnsi="仿宋" w:eastAsia="仿宋" w:cs="仿宋"/>
                <w:color w:val="auto"/>
                <w:sz w:val="24"/>
                <w:highlight w:val="none"/>
              </w:rPr>
              <w:t>扣1分，扣完为止。未提供不得分。</w:t>
            </w:r>
          </w:p>
        </w:tc>
        <w:tc>
          <w:tcPr>
            <w:tcW w:w="820" w:type="dxa"/>
            <w:tcBorders>
              <w:tl2br w:val="nil"/>
              <w:tr2bl w:val="nil"/>
            </w:tcBorders>
            <w:vAlign w:val="center"/>
          </w:tcPr>
          <w:p w14:paraId="08D22815">
            <w:pPr>
              <w:widowControl/>
              <w:overflowPunct w:val="0"/>
              <w:autoSpaceDE w:val="0"/>
              <w:autoSpaceDN w:val="0"/>
              <w:adjustRightInd w:val="0"/>
              <w:spacing w:line="440" w:lineRule="exact"/>
              <w:jc w:val="center"/>
              <w:textAlignment w:val="baseline"/>
              <w:rPr>
                <w:rFonts w:hint="eastAsia" w:ascii="仿宋" w:hAnsi="仿宋" w:eastAsia="仿宋" w:cs="仿宋"/>
                <w:bCs/>
                <w:color w:val="auto"/>
                <w:kern w:val="0"/>
                <w:sz w:val="24"/>
                <w:highlight w:val="none"/>
                <w:lang w:val="en-US" w:eastAsia="zh-CN"/>
              </w:rPr>
            </w:pPr>
            <w:r>
              <w:rPr>
                <w:rFonts w:hint="eastAsia" w:ascii="仿宋" w:hAnsi="仿宋" w:eastAsia="仿宋" w:cs="仿宋"/>
                <w:b/>
                <w:bCs w:val="0"/>
                <w:color w:val="auto"/>
                <w:kern w:val="0"/>
                <w:sz w:val="24"/>
                <w:highlight w:val="none"/>
                <w:lang w:val="en-US" w:eastAsia="zh-CN"/>
              </w:rPr>
              <w:t>35分</w:t>
            </w:r>
          </w:p>
        </w:tc>
      </w:tr>
      <w:tr w14:paraId="48B90AFB">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698" w:type="dxa"/>
            <w:tcBorders>
              <w:tl2br w:val="nil"/>
              <w:tr2bl w:val="nil"/>
            </w:tcBorders>
            <w:vAlign w:val="center"/>
          </w:tcPr>
          <w:p w14:paraId="0CD5EF29">
            <w:pPr>
              <w:widowControl/>
              <w:tabs>
                <w:tab w:val="left" w:pos="0"/>
                <w:tab w:val="left" w:pos="993"/>
                <w:tab w:val="left" w:pos="1134"/>
              </w:tabs>
              <w:snapToGrid w:val="0"/>
              <w:spacing w:line="420" w:lineRule="exact"/>
              <w:jc w:val="center"/>
              <w:rPr>
                <w:rFonts w:hint="eastAsia" w:ascii="仿宋" w:hAnsi="仿宋" w:eastAsia="仿宋" w:cs="仿宋"/>
                <w:bCs/>
                <w:color w:val="auto"/>
                <w:kern w:val="0"/>
                <w:sz w:val="24"/>
                <w:highlight w:val="none"/>
                <w:lang w:val="en-US" w:eastAsia="zh-CN"/>
              </w:rPr>
            </w:pPr>
            <w:r>
              <w:rPr>
                <w:rFonts w:hint="eastAsia" w:ascii="仿宋" w:hAnsi="仿宋" w:eastAsia="仿宋" w:cs="仿宋"/>
                <w:bCs/>
                <w:color w:val="auto"/>
                <w:kern w:val="0"/>
                <w:sz w:val="24"/>
                <w:highlight w:val="none"/>
                <w:lang w:val="en-US" w:eastAsia="zh-CN"/>
              </w:rPr>
              <w:t>2</w:t>
            </w:r>
          </w:p>
        </w:tc>
        <w:tc>
          <w:tcPr>
            <w:tcW w:w="1389" w:type="dxa"/>
            <w:tcBorders>
              <w:tl2br w:val="nil"/>
              <w:tr2bl w:val="nil"/>
            </w:tcBorders>
            <w:vAlign w:val="center"/>
          </w:tcPr>
          <w:p w14:paraId="395BEA7C">
            <w:pPr>
              <w:tabs>
                <w:tab w:val="left" w:pos="1080"/>
              </w:tabs>
              <w:spacing w:line="420" w:lineRule="exact"/>
              <w:jc w:val="center"/>
              <w:rPr>
                <w:rFonts w:hint="eastAsia" w:ascii="仿宋" w:hAnsi="仿宋" w:eastAsia="仿宋" w:cs="仿宋"/>
                <w:b/>
                <w:color w:val="auto"/>
                <w:kern w:val="0"/>
                <w:sz w:val="24"/>
                <w:highlight w:val="none"/>
              </w:rPr>
            </w:pPr>
            <w:r>
              <w:rPr>
                <w:rFonts w:hint="eastAsia" w:ascii="仿宋" w:hAnsi="仿宋" w:eastAsia="仿宋" w:cs="仿宋"/>
                <w:b/>
                <w:color w:val="auto"/>
                <w:sz w:val="24"/>
                <w:szCs w:val="24"/>
                <w:highlight w:val="none"/>
              </w:rPr>
              <w:t>本项目拟投入设备</w:t>
            </w:r>
          </w:p>
        </w:tc>
        <w:tc>
          <w:tcPr>
            <w:tcW w:w="6863" w:type="dxa"/>
            <w:tcBorders>
              <w:tl2br w:val="nil"/>
              <w:tr2bl w:val="nil"/>
            </w:tcBorders>
            <w:vAlign w:val="center"/>
          </w:tcPr>
          <w:p w14:paraId="1B3B471D">
            <w:pPr>
              <w:spacing w:line="360" w:lineRule="auto"/>
              <w:ind w:firstLine="240" w:firstLineChars="1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施工车辆为企业自有车辆的得6分，租赁的车辆得3分（要求作业车辆3辆及以上，不满3辆不得分。自有车辆不满3辆的，补足作业车辆数量后按租赁车辆计算，须提供作业车辆发票或行驶证，租赁的车辆还须提供租赁合同，</w:t>
            </w:r>
            <w:r>
              <w:rPr>
                <w:rFonts w:hint="eastAsia" w:ascii="仿宋" w:hAnsi="仿宋" w:eastAsia="仿宋" w:cs="宋体"/>
                <w:b/>
                <w:color w:val="auto"/>
                <w:kern w:val="0"/>
                <w:sz w:val="24"/>
                <w:highlight w:val="none"/>
                <w:u w:val="single"/>
                <w:lang w:bidi="ar"/>
              </w:rPr>
              <w:t>提供相关</w:t>
            </w:r>
            <w:r>
              <w:rPr>
                <w:rFonts w:hint="eastAsia" w:ascii="仿宋" w:hAnsi="仿宋" w:eastAsia="仿宋" w:cs="宋体"/>
                <w:b/>
                <w:color w:val="auto"/>
                <w:kern w:val="0"/>
                <w:sz w:val="24"/>
                <w:highlight w:val="none"/>
                <w:u w:val="single"/>
                <w:lang w:val="en-US" w:eastAsia="zh-CN" w:bidi="ar"/>
              </w:rPr>
              <w:t>资料</w:t>
            </w:r>
            <w:r>
              <w:rPr>
                <w:rFonts w:hint="eastAsia" w:ascii="仿宋" w:hAnsi="仿宋" w:eastAsia="仿宋" w:cs="宋体"/>
                <w:b/>
                <w:color w:val="auto"/>
                <w:kern w:val="0"/>
                <w:sz w:val="24"/>
                <w:highlight w:val="none"/>
                <w:u w:val="single"/>
                <w:lang w:bidi="ar"/>
              </w:rPr>
              <w:t>原件扫描件并加盖投标人公章，否则不予认可。</w:t>
            </w:r>
            <w:r>
              <w:rPr>
                <w:rFonts w:hint="eastAsia" w:ascii="仿宋" w:hAnsi="仿宋" w:eastAsia="仿宋" w:cs="仿宋"/>
                <w:color w:val="auto"/>
                <w:sz w:val="24"/>
                <w:highlight w:val="none"/>
                <w:lang w:val="en-US" w:eastAsia="zh-CN"/>
              </w:rPr>
              <w:t>）。</w:t>
            </w:r>
          </w:p>
          <w:p w14:paraId="5AF49C4B">
            <w:pPr>
              <w:spacing w:line="360" w:lineRule="auto"/>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2、企业自有8吨及以上吊车的得6分或企业自有5吨及以上、作业高度17米及以上高空作业车和企业具备升降平台设备得6分，租赁的得3分；此项最高得6分。</w:t>
            </w:r>
            <w:r>
              <w:rPr>
                <w:rFonts w:hint="eastAsia" w:ascii="仿宋" w:hAnsi="仿宋" w:eastAsia="仿宋" w:cs="仿宋"/>
                <w:b w:val="0"/>
                <w:bCs w:val="0"/>
                <w:color w:val="auto"/>
                <w:sz w:val="24"/>
                <w:highlight w:val="none"/>
                <w:u w:val="none"/>
              </w:rPr>
              <w:t>（</w:t>
            </w:r>
            <w:r>
              <w:rPr>
                <w:rFonts w:hint="eastAsia" w:ascii="仿宋" w:hAnsi="仿宋" w:eastAsia="仿宋" w:cs="仿宋"/>
                <w:b w:val="0"/>
                <w:bCs w:val="0"/>
                <w:color w:val="auto"/>
                <w:sz w:val="24"/>
                <w:highlight w:val="none"/>
                <w:u w:val="none"/>
                <w:lang w:val="en-US" w:eastAsia="zh-CN"/>
              </w:rPr>
              <w:t>须提供</w:t>
            </w:r>
            <w:r>
              <w:rPr>
                <w:rFonts w:hint="eastAsia" w:ascii="仿宋" w:hAnsi="仿宋" w:eastAsia="仿宋" w:cs="仿宋"/>
                <w:b w:val="0"/>
                <w:bCs w:val="0"/>
                <w:color w:val="auto"/>
                <w:sz w:val="24"/>
                <w:highlight w:val="none"/>
                <w:u w:val="none"/>
              </w:rPr>
              <w:t>车辆行驶证或发票，租赁的还须提供租赁合同</w:t>
            </w:r>
            <w:r>
              <w:rPr>
                <w:rFonts w:hint="eastAsia" w:ascii="仿宋" w:hAnsi="仿宋" w:eastAsia="仿宋" w:cs="仿宋"/>
                <w:b w:val="0"/>
                <w:bCs w:val="0"/>
                <w:color w:val="auto"/>
                <w:sz w:val="24"/>
                <w:highlight w:val="none"/>
                <w:u w:val="none"/>
                <w:lang w:eastAsia="zh-CN"/>
              </w:rPr>
              <w:t>，</w:t>
            </w:r>
            <w:r>
              <w:rPr>
                <w:rFonts w:hint="eastAsia" w:ascii="仿宋" w:hAnsi="仿宋" w:eastAsia="仿宋" w:cs="宋体"/>
                <w:b/>
                <w:color w:val="auto"/>
                <w:kern w:val="0"/>
                <w:sz w:val="24"/>
                <w:highlight w:val="none"/>
                <w:u w:val="single"/>
                <w:lang w:bidi="ar"/>
              </w:rPr>
              <w:t>提供相关</w:t>
            </w:r>
            <w:r>
              <w:rPr>
                <w:rFonts w:hint="eastAsia" w:ascii="仿宋" w:hAnsi="仿宋" w:eastAsia="仿宋" w:cs="宋体"/>
                <w:b/>
                <w:color w:val="auto"/>
                <w:kern w:val="0"/>
                <w:sz w:val="24"/>
                <w:highlight w:val="none"/>
                <w:u w:val="single"/>
                <w:lang w:val="en-US" w:eastAsia="zh-CN" w:bidi="ar"/>
              </w:rPr>
              <w:t>资料</w:t>
            </w:r>
            <w:r>
              <w:rPr>
                <w:rFonts w:hint="eastAsia" w:ascii="仿宋" w:hAnsi="仿宋" w:eastAsia="仿宋" w:cs="宋体"/>
                <w:b/>
                <w:color w:val="auto"/>
                <w:kern w:val="0"/>
                <w:sz w:val="24"/>
                <w:highlight w:val="none"/>
                <w:u w:val="single"/>
                <w:lang w:bidi="ar"/>
              </w:rPr>
              <w:t>原件扫描件并加盖投标人公章，否则不予认可。</w:t>
            </w:r>
            <w:r>
              <w:rPr>
                <w:rFonts w:hint="eastAsia" w:ascii="仿宋" w:hAnsi="仿宋" w:eastAsia="仿宋" w:cs="仿宋"/>
                <w:b w:val="0"/>
                <w:bCs w:val="0"/>
                <w:color w:val="auto"/>
                <w:sz w:val="24"/>
                <w:highlight w:val="none"/>
                <w:u w:val="none"/>
              </w:rPr>
              <w:t>）。</w:t>
            </w:r>
          </w:p>
        </w:tc>
        <w:tc>
          <w:tcPr>
            <w:tcW w:w="820" w:type="dxa"/>
            <w:tcBorders>
              <w:tl2br w:val="nil"/>
              <w:tr2bl w:val="nil"/>
            </w:tcBorders>
            <w:vAlign w:val="center"/>
          </w:tcPr>
          <w:p w14:paraId="04E6264D">
            <w:pPr>
              <w:widowControl/>
              <w:tabs>
                <w:tab w:val="left" w:pos="0"/>
                <w:tab w:val="left" w:pos="993"/>
                <w:tab w:val="left" w:pos="1134"/>
              </w:tabs>
              <w:snapToGrid w:val="0"/>
              <w:spacing w:line="420" w:lineRule="exact"/>
              <w:jc w:val="center"/>
              <w:rPr>
                <w:rFonts w:hint="eastAsia" w:ascii="仿宋" w:hAnsi="仿宋" w:eastAsia="仿宋" w:cs="仿宋"/>
                <w:b/>
                <w:color w:val="auto"/>
                <w:kern w:val="0"/>
                <w:sz w:val="24"/>
                <w:highlight w:val="none"/>
                <w:lang w:val="en-US" w:eastAsia="zh-CN"/>
              </w:rPr>
            </w:pPr>
            <w:r>
              <w:rPr>
                <w:rFonts w:hint="eastAsia" w:ascii="仿宋" w:hAnsi="仿宋" w:eastAsia="仿宋" w:cs="仿宋"/>
                <w:b/>
                <w:color w:val="auto"/>
                <w:kern w:val="0"/>
                <w:sz w:val="24"/>
                <w:highlight w:val="none"/>
                <w:lang w:val="en-US" w:eastAsia="zh-CN"/>
              </w:rPr>
              <w:t>12分</w:t>
            </w:r>
          </w:p>
        </w:tc>
      </w:tr>
      <w:tr w14:paraId="0D9333BB">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890" w:hRule="atLeast"/>
          <w:jc w:val="center"/>
        </w:trPr>
        <w:tc>
          <w:tcPr>
            <w:tcW w:w="698" w:type="dxa"/>
            <w:tcBorders>
              <w:tl2br w:val="nil"/>
              <w:tr2bl w:val="nil"/>
            </w:tcBorders>
            <w:vAlign w:val="center"/>
          </w:tcPr>
          <w:p w14:paraId="2F90900A">
            <w:pPr>
              <w:widowControl/>
              <w:tabs>
                <w:tab w:val="left" w:pos="0"/>
                <w:tab w:val="left" w:pos="993"/>
                <w:tab w:val="left" w:pos="1134"/>
              </w:tabs>
              <w:snapToGrid w:val="0"/>
              <w:spacing w:line="420" w:lineRule="exact"/>
              <w:jc w:val="center"/>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3</w:t>
            </w:r>
          </w:p>
        </w:tc>
        <w:tc>
          <w:tcPr>
            <w:tcW w:w="1389" w:type="dxa"/>
            <w:tcBorders>
              <w:tl2br w:val="nil"/>
              <w:tr2bl w:val="nil"/>
            </w:tcBorders>
            <w:vAlign w:val="center"/>
          </w:tcPr>
          <w:p w14:paraId="16D24197">
            <w:pPr>
              <w:widowControl/>
              <w:tabs>
                <w:tab w:val="left" w:pos="0"/>
                <w:tab w:val="left" w:pos="993"/>
                <w:tab w:val="left" w:pos="1134"/>
              </w:tabs>
              <w:snapToGrid w:val="0"/>
              <w:spacing w:line="420" w:lineRule="exact"/>
              <w:jc w:val="center"/>
              <w:rPr>
                <w:rFonts w:hint="default" w:ascii="仿宋" w:hAnsi="仿宋" w:eastAsia="仿宋" w:cs="仿宋"/>
                <w:bCs/>
                <w:color w:val="auto"/>
                <w:kern w:val="0"/>
                <w:sz w:val="24"/>
                <w:highlight w:val="none"/>
                <w:lang w:val="en-US" w:eastAsia="zh-CN"/>
              </w:rPr>
            </w:pPr>
            <w:r>
              <w:rPr>
                <w:rFonts w:hint="eastAsia" w:ascii="仿宋" w:hAnsi="仿宋" w:eastAsia="仿宋" w:cs="仿宋"/>
                <w:b/>
                <w:color w:val="auto"/>
                <w:sz w:val="24"/>
                <w:szCs w:val="24"/>
                <w:highlight w:val="none"/>
                <w:lang w:val="en-US" w:eastAsia="zh-CN"/>
              </w:rPr>
              <w:t>人员配备</w:t>
            </w:r>
          </w:p>
        </w:tc>
        <w:tc>
          <w:tcPr>
            <w:tcW w:w="6863" w:type="dxa"/>
            <w:tcBorders>
              <w:tl2br w:val="nil"/>
              <w:tr2bl w:val="nil"/>
            </w:tcBorders>
            <w:vAlign w:val="center"/>
          </w:tcPr>
          <w:p w14:paraId="3926238B">
            <w:pPr>
              <w:spacing w:line="360" w:lineRule="auto"/>
              <w:ind w:firstLine="240" w:firstLineChars="1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1、项目负责人具有二级及以上建造师注册证书(市政</w:t>
            </w:r>
            <w:r>
              <w:rPr>
                <w:rFonts w:hint="eastAsia" w:ascii="仿宋" w:hAnsi="仿宋" w:eastAsia="仿宋" w:cs="仿宋"/>
                <w:color w:val="auto"/>
                <w:sz w:val="24"/>
                <w:highlight w:val="none"/>
                <w:lang w:val="en-US" w:eastAsia="zh-CN"/>
              </w:rPr>
              <w:t>公用工程</w:t>
            </w:r>
            <w:r>
              <w:rPr>
                <w:rFonts w:hint="eastAsia" w:ascii="仿宋" w:hAnsi="仿宋" w:eastAsia="仿宋" w:cs="仿宋"/>
                <w:color w:val="auto"/>
                <w:sz w:val="24"/>
                <w:highlight w:val="none"/>
              </w:rPr>
              <w:t>或公路</w:t>
            </w:r>
            <w:r>
              <w:rPr>
                <w:rFonts w:hint="eastAsia" w:ascii="仿宋" w:hAnsi="仿宋" w:eastAsia="仿宋" w:cs="仿宋"/>
                <w:color w:val="auto"/>
                <w:sz w:val="24"/>
                <w:highlight w:val="none"/>
                <w:lang w:val="en-US" w:eastAsia="zh-CN"/>
              </w:rPr>
              <w:t>工程</w:t>
            </w:r>
            <w:r>
              <w:rPr>
                <w:rFonts w:hint="eastAsia" w:ascii="仿宋" w:hAnsi="仿宋" w:eastAsia="仿宋" w:cs="仿宋"/>
                <w:color w:val="auto"/>
                <w:sz w:val="24"/>
                <w:highlight w:val="none"/>
              </w:rPr>
              <w:t>)及高级工程师证书的得5分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项目负责人具有二级及以上建造师注册证书(市政</w:t>
            </w:r>
            <w:r>
              <w:rPr>
                <w:rFonts w:hint="eastAsia" w:ascii="仿宋" w:hAnsi="仿宋" w:eastAsia="仿宋" w:cs="仿宋"/>
                <w:color w:val="auto"/>
                <w:sz w:val="24"/>
                <w:highlight w:val="none"/>
                <w:lang w:val="en-US" w:eastAsia="zh-CN"/>
              </w:rPr>
              <w:t>公用工程</w:t>
            </w:r>
            <w:r>
              <w:rPr>
                <w:rFonts w:hint="eastAsia" w:ascii="仿宋" w:hAnsi="仿宋" w:eastAsia="仿宋" w:cs="仿宋"/>
                <w:color w:val="auto"/>
                <w:sz w:val="24"/>
                <w:highlight w:val="none"/>
              </w:rPr>
              <w:t>或公路</w:t>
            </w:r>
            <w:r>
              <w:rPr>
                <w:rFonts w:hint="eastAsia" w:ascii="仿宋" w:hAnsi="仿宋" w:eastAsia="仿宋" w:cs="仿宋"/>
                <w:color w:val="auto"/>
                <w:sz w:val="24"/>
                <w:highlight w:val="none"/>
                <w:lang w:val="en-US" w:eastAsia="zh-CN"/>
              </w:rPr>
              <w:t>工程</w:t>
            </w:r>
            <w:r>
              <w:rPr>
                <w:rFonts w:hint="eastAsia" w:ascii="仿宋" w:hAnsi="仿宋" w:eastAsia="仿宋" w:cs="仿宋"/>
                <w:color w:val="auto"/>
                <w:sz w:val="24"/>
                <w:highlight w:val="none"/>
              </w:rPr>
              <w:t>)及工程师证书的得3分。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按最高级别计取，不重复得分</w:t>
            </w:r>
            <w:r>
              <w:rPr>
                <w:rFonts w:hint="eastAsia" w:ascii="仿宋" w:hAnsi="仿宋" w:eastAsia="仿宋" w:cs="仿宋"/>
                <w:color w:val="auto"/>
                <w:sz w:val="24"/>
                <w:highlight w:val="none"/>
                <w:lang w:eastAsia="zh-CN"/>
              </w:rPr>
              <w:t>）</w:t>
            </w:r>
          </w:p>
          <w:p w14:paraId="63BFB560">
            <w:pPr>
              <w:spacing w:line="360" w:lineRule="auto"/>
              <w:ind w:firstLine="240" w:firstLineChars="1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2、拟投入的施工员、质量员、材料员、资料员、专职安全生产管理人员</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C证</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配备一人一岗，不得兼任，人员配备齐全的得10分，缺少1人及以上不得分</w:t>
            </w:r>
            <w:r>
              <w:rPr>
                <w:rFonts w:hint="eastAsia" w:ascii="仿宋" w:hAnsi="仿宋" w:eastAsia="仿宋" w:cs="仿宋"/>
                <w:color w:val="auto"/>
                <w:sz w:val="24"/>
                <w:highlight w:val="none"/>
                <w:lang w:eastAsia="zh-CN"/>
              </w:rPr>
              <w:t>。</w:t>
            </w:r>
          </w:p>
          <w:p w14:paraId="4AFE7164">
            <w:pPr>
              <w:spacing w:line="360" w:lineRule="auto"/>
              <w:ind w:firstLine="241" w:firstLineChars="100"/>
              <w:jc w:val="left"/>
              <w:rPr>
                <w:rFonts w:hint="eastAsia" w:ascii="仿宋" w:hAnsi="仿宋" w:eastAsia="仿宋" w:cs="仿宋"/>
                <w:color w:val="auto"/>
                <w:sz w:val="24"/>
                <w:highlight w:val="none"/>
                <w:lang w:eastAsia="zh-CN"/>
              </w:rPr>
            </w:pPr>
            <w:r>
              <w:rPr>
                <w:rFonts w:hint="eastAsia" w:ascii="仿宋" w:hAnsi="仿宋" w:eastAsia="仿宋" w:cs="仿宋"/>
                <w:b/>
                <w:bCs/>
                <w:color w:val="auto"/>
                <w:sz w:val="24"/>
                <w:highlight w:val="none"/>
                <w:u w:val="single"/>
                <w:lang w:val="en-US" w:eastAsia="zh-CN"/>
              </w:rPr>
              <w:t>注：</w:t>
            </w:r>
            <w:r>
              <w:rPr>
                <w:rFonts w:hint="eastAsia" w:ascii="仿宋" w:hAnsi="仿宋" w:eastAsia="仿宋" w:cs="仿宋"/>
                <w:b/>
                <w:bCs/>
                <w:color w:val="auto"/>
                <w:sz w:val="24"/>
                <w:highlight w:val="none"/>
                <w:u w:val="single"/>
              </w:rPr>
              <w:t>提供相应人员证书</w:t>
            </w:r>
            <w:r>
              <w:rPr>
                <w:rFonts w:hint="eastAsia" w:ascii="仿宋" w:hAnsi="仿宋" w:eastAsia="仿宋" w:cs="仿宋"/>
                <w:b/>
                <w:bCs/>
                <w:color w:val="auto"/>
                <w:sz w:val="24"/>
                <w:highlight w:val="none"/>
                <w:u w:val="single"/>
                <w:lang w:val="en-US" w:eastAsia="zh-CN"/>
              </w:rPr>
              <w:t>及</w:t>
            </w:r>
            <w:r>
              <w:rPr>
                <w:rFonts w:hint="eastAsia" w:ascii="仿宋" w:hAnsi="仿宋" w:eastAsia="仿宋" w:cs="仿宋"/>
                <w:b/>
                <w:bCs/>
                <w:color w:val="auto"/>
                <w:sz w:val="24"/>
                <w:highlight w:val="none"/>
                <w:u w:val="single"/>
              </w:rPr>
              <w:t>社保机构出具的由本单位或分公司为其缴纳的近3个月中任何1个月的社保证明</w:t>
            </w:r>
            <w:r>
              <w:rPr>
                <w:rFonts w:hint="eastAsia" w:ascii="仿宋" w:hAnsi="仿宋" w:eastAsia="仿宋" w:cs="仿宋"/>
                <w:b/>
                <w:bCs/>
                <w:color w:val="auto"/>
                <w:sz w:val="24"/>
                <w:highlight w:val="none"/>
                <w:u w:val="single"/>
                <w:lang w:eastAsia="zh-CN"/>
              </w:rPr>
              <w:t>。</w:t>
            </w:r>
            <w:r>
              <w:rPr>
                <w:rFonts w:hint="eastAsia" w:ascii="仿宋" w:hAnsi="仿宋" w:eastAsia="仿宋" w:cs="仿宋"/>
                <w:b/>
                <w:bCs/>
                <w:color w:val="auto"/>
                <w:sz w:val="24"/>
                <w:highlight w:val="none"/>
                <w:u w:val="single"/>
                <w:lang w:val="en-US" w:eastAsia="zh-CN"/>
              </w:rPr>
              <w:t>复印件加盖投标人单位公章，</w:t>
            </w:r>
            <w:r>
              <w:rPr>
                <w:rFonts w:hint="eastAsia" w:ascii="仿宋" w:hAnsi="仿宋" w:eastAsia="仿宋" w:cs="宋体"/>
                <w:b/>
                <w:bCs/>
                <w:color w:val="auto"/>
                <w:kern w:val="0"/>
                <w:sz w:val="24"/>
                <w:highlight w:val="none"/>
                <w:u w:val="single"/>
                <w:lang w:bidi="ar"/>
              </w:rPr>
              <w:t>否则不予认可</w:t>
            </w:r>
            <w:r>
              <w:rPr>
                <w:rFonts w:hint="eastAsia" w:ascii="仿宋" w:hAnsi="仿宋" w:eastAsia="仿宋" w:cs="宋体"/>
                <w:b/>
                <w:bCs/>
                <w:color w:val="auto"/>
                <w:kern w:val="0"/>
                <w:sz w:val="24"/>
                <w:highlight w:val="none"/>
                <w:u w:val="single"/>
                <w:lang w:eastAsia="zh-CN" w:bidi="ar"/>
              </w:rPr>
              <w:t>。</w:t>
            </w:r>
          </w:p>
        </w:tc>
        <w:tc>
          <w:tcPr>
            <w:tcW w:w="820" w:type="dxa"/>
            <w:tcBorders>
              <w:tl2br w:val="nil"/>
              <w:tr2bl w:val="nil"/>
            </w:tcBorders>
            <w:vAlign w:val="center"/>
          </w:tcPr>
          <w:p w14:paraId="684757C6">
            <w:pPr>
              <w:widowControl/>
              <w:tabs>
                <w:tab w:val="left" w:pos="0"/>
                <w:tab w:val="left" w:pos="993"/>
                <w:tab w:val="left" w:pos="1134"/>
              </w:tabs>
              <w:snapToGrid w:val="0"/>
              <w:spacing w:line="420" w:lineRule="exact"/>
              <w:jc w:val="center"/>
              <w:rPr>
                <w:rFonts w:hint="eastAsia" w:ascii="仿宋" w:hAnsi="仿宋" w:eastAsia="仿宋" w:cs="仿宋"/>
                <w:b/>
                <w:color w:val="auto"/>
                <w:kern w:val="0"/>
                <w:sz w:val="24"/>
                <w:highlight w:val="none"/>
                <w:lang w:val="en-US" w:eastAsia="zh-CN"/>
              </w:rPr>
            </w:pPr>
            <w:r>
              <w:rPr>
                <w:rFonts w:hint="eastAsia" w:ascii="仿宋" w:hAnsi="仿宋" w:eastAsia="仿宋" w:cs="仿宋"/>
                <w:b/>
                <w:color w:val="auto"/>
                <w:kern w:val="0"/>
                <w:sz w:val="24"/>
                <w:highlight w:val="none"/>
                <w:lang w:val="en-US" w:eastAsia="zh-CN"/>
              </w:rPr>
              <w:t>15分</w:t>
            </w:r>
          </w:p>
        </w:tc>
      </w:tr>
      <w:tr w14:paraId="6C585EE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698" w:type="dxa"/>
            <w:tcBorders>
              <w:tl2br w:val="nil"/>
              <w:tr2bl w:val="nil"/>
            </w:tcBorders>
            <w:vAlign w:val="center"/>
          </w:tcPr>
          <w:p w14:paraId="4A14E14D">
            <w:pPr>
              <w:widowControl/>
              <w:tabs>
                <w:tab w:val="left" w:pos="0"/>
                <w:tab w:val="left" w:pos="993"/>
                <w:tab w:val="left" w:pos="1134"/>
              </w:tabs>
              <w:snapToGrid w:val="0"/>
              <w:spacing w:line="420" w:lineRule="exact"/>
              <w:jc w:val="center"/>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二</w:t>
            </w:r>
          </w:p>
        </w:tc>
        <w:tc>
          <w:tcPr>
            <w:tcW w:w="8252" w:type="dxa"/>
            <w:gridSpan w:val="2"/>
            <w:tcBorders>
              <w:tl2br w:val="nil"/>
              <w:tr2bl w:val="nil"/>
            </w:tcBorders>
            <w:vAlign w:val="center"/>
          </w:tcPr>
          <w:p w14:paraId="581391D1">
            <w:pPr>
              <w:widowControl/>
              <w:tabs>
                <w:tab w:val="left" w:pos="0"/>
                <w:tab w:val="left" w:pos="993"/>
                <w:tab w:val="left" w:pos="1134"/>
              </w:tabs>
              <w:snapToGrid w:val="0"/>
              <w:jc w:val="center"/>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商务</w:t>
            </w:r>
            <w:r>
              <w:rPr>
                <w:rFonts w:hint="eastAsia" w:ascii="仿宋" w:hAnsi="仿宋" w:eastAsia="仿宋" w:cs="仿宋"/>
                <w:b/>
                <w:color w:val="auto"/>
                <w:kern w:val="0"/>
                <w:sz w:val="24"/>
                <w:highlight w:val="none"/>
                <w:lang w:eastAsia="zh-CN"/>
              </w:rPr>
              <w:t>、</w:t>
            </w:r>
            <w:r>
              <w:rPr>
                <w:rFonts w:hint="eastAsia" w:ascii="仿宋" w:hAnsi="仿宋" w:eastAsia="仿宋" w:cs="仿宋"/>
                <w:b/>
                <w:color w:val="auto"/>
                <w:kern w:val="0"/>
                <w:sz w:val="24"/>
                <w:highlight w:val="none"/>
                <w:lang w:val="en-US" w:eastAsia="zh-CN"/>
              </w:rPr>
              <w:t>资信及其他</w:t>
            </w:r>
            <w:r>
              <w:rPr>
                <w:rFonts w:hint="eastAsia" w:ascii="仿宋" w:hAnsi="仿宋" w:eastAsia="仿宋" w:cs="仿宋"/>
                <w:b/>
                <w:color w:val="auto"/>
                <w:kern w:val="0"/>
                <w:sz w:val="24"/>
                <w:highlight w:val="none"/>
              </w:rPr>
              <w:t>分</w:t>
            </w:r>
          </w:p>
        </w:tc>
        <w:tc>
          <w:tcPr>
            <w:tcW w:w="820" w:type="dxa"/>
            <w:tcBorders>
              <w:tl2br w:val="nil"/>
              <w:tr2bl w:val="nil"/>
            </w:tcBorders>
            <w:vAlign w:val="center"/>
          </w:tcPr>
          <w:p w14:paraId="17E7EAF5">
            <w:pPr>
              <w:widowControl/>
              <w:tabs>
                <w:tab w:val="left" w:pos="0"/>
                <w:tab w:val="left" w:pos="993"/>
                <w:tab w:val="left" w:pos="1134"/>
              </w:tabs>
              <w:snapToGrid w:val="0"/>
              <w:spacing w:line="420" w:lineRule="exact"/>
              <w:jc w:val="center"/>
              <w:rPr>
                <w:rFonts w:hint="eastAsia" w:ascii="仿宋" w:hAnsi="仿宋" w:eastAsia="仿宋" w:cs="仿宋"/>
                <w:b/>
                <w:color w:val="auto"/>
                <w:kern w:val="0"/>
                <w:sz w:val="24"/>
                <w:highlight w:val="none"/>
                <w:lang w:val="en-US" w:eastAsia="zh-CN"/>
              </w:rPr>
            </w:pPr>
            <w:r>
              <w:rPr>
                <w:rFonts w:hint="eastAsia" w:ascii="仿宋" w:hAnsi="仿宋" w:eastAsia="仿宋" w:cs="仿宋"/>
                <w:b/>
                <w:color w:val="auto"/>
                <w:kern w:val="0"/>
                <w:sz w:val="24"/>
                <w:highlight w:val="none"/>
                <w:lang w:val="en-US" w:eastAsia="zh-CN"/>
              </w:rPr>
              <w:t>18分</w:t>
            </w:r>
          </w:p>
        </w:tc>
      </w:tr>
      <w:tr w14:paraId="3D42CAAC">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698" w:type="dxa"/>
            <w:tcBorders>
              <w:tl2br w:val="nil"/>
              <w:tr2bl w:val="nil"/>
            </w:tcBorders>
            <w:vAlign w:val="center"/>
          </w:tcPr>
          <w:p w14:paraId="723B261D">
            <w:pPr>
              <w:widowControl/>
              <w:tabs>
                <w:tab w:val="left" w:pos="0"/>
                <w:tab w:val="left" w:pos="993"/>
                <w:tab w:val="left" w:pos="1134"/>
              </w:tabs>
              <w:snapToGrid w:val="0"/>
              <w:spacing w:line="420" w:lineRule="exact"/>
              <w:jc w:val="center"/>
              <w:rPr>
                <w:rFonts w:hint="eastAsia" w:ascii="仿宋" w:hAnsi="仿宋" w:eastAsia="仿宋" w:cs="仿宋"/>
                <w:bCs/>
                <w:color w:val="auto"/>
                <w:kern w:val="0"/>
                <w:sz w:val="24"/>
                <w:highlight w:val="none"/>
                <w:lang w:eastAsia="zh-CN"/>
              </w:rPr>
            </w:pPr>
            <w:r>
              <w:rPr>
                <w:rFonts w:hint="eastAsia" w:ascii="仿宋" w:hAnsi="仿宋" w:eastAsia="仿宋" w:cs="仿宋"/>
                <w:bCs/>
                <w:color w:val="auto"/>
                <w:kern w:val="0"/>
                <w:sz w:val="24"/>
                <w:highlight w:val="none"/>
                <w:lang w:val="en-US" w:eastAsia="zh-CN"/>
              </w:rPr>
              <w:t>4</w:t>
            </w:r>
          </w:p>
        </w:tc>
        <w:tc>
          <w:tcPr>
            <w:tcW w:w="1389" w:type="dxa"/>
            <w:tcBorders>
              <w:tl2br w:val="nil"/>
              <w:tr2bl w:val="nil"/>
            </w:tcBorders>
            <w:vAlign w:val="center"/>
          </w:tcPr>
          <w:p w14:paraId="3CF42735">
            <w:pPr>
              <w:tabs>
                <w:tab w:val="left" w:pos="1080"/>
              </w:tabs>
              <w:spacing w:line="420" w:lineRule="exact"/>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lang w:val="en-US" w:eastAsia="zh-CN"/>
              </w:rPr>
              <w:t>服务承诺</w:t>
            </w:r>
          </w:p>
        </w:tc>
        <w:tc>
          <w:tcPr>
            <w:tcW w:w="6863" w:type="dxa"/>
            <w:tcBorders>
              <w:tl2br w:val="nil"/>
              <w:tr2bl w:val="nil"/>
            </w:tcBorders>
            <w:vAlign w:val="center"/>
          </w:tcPr>
          <w:p w14:paraId="561CC8A9">
            <w:pPr>
              <w:spacing w:line="360" w:lineRule="auto"/>
              <w:ind w:firstLine="480" w:firstLineChars="200"/>
              <w:rPr>
                <w:rFonts w:hint="eastAsia" w:ascii="仿宋" w:hAnsi="仿宋" w:eastAsia="仿宋" w:cs="仿宋"/>
                <w:b/>
                <w:color w:val="auto"/>
                <w:sz w:val="24"/>
                <w:highlight w:val="none"/>
                <w:u w:val="single"/>
                <w:lang w:val="en-US" w:eastAsia="zh-CN"/>
              </w:rPr>
            </w:pPr>
            <w:r>
              <w:rPr>
                <w:rFonts w:hint="eastAsia" w:ascii="仿宋" w:hAnsi="仿宋" w:eastAsia="仿宋" w:cs="仿宋"/>
                <w:color w:val="auto"/>
                <w:sz w:val="24"/>
                <w:highlight w:val="none"/>
              </w:rPr>
              <w:t>根据投标人提供后期服务计划或方案情况、持续服务保障情况、后期服务机构及服务电话设置、售后服务承诺、售后服务队伍人员情况</w:t>
            </w:r>
            <w:r>
              <w:rPr>
                <w:rFonts w:hint="eastAsia" w:ascii="仿宋" w:hAnsi="仿宋" w:eastAsia="仿宋" w:cs="仿宋"/>
                <w:color w:val="auto"/>
                <w:sz w:val="24"/>
                <w:highlight w:val="none"/>
                <w:lang w:eastAsia="zh-CN"/>
              </w:rPr>
              <w:t>等方面内容</w:t>
            </w:r>
            <w:r>
              <w:rPr>
                <w:rFonts w:hint="eastAsia" w:ascii="仿宋" w:hAnsi="仿宋" w:eastAsia="仿宋" w:cs="仿宋"/>
                <w:color w:val="auto"/>
                <w:sz w:val="24"/>
                <w:highlight w:val="none"/>
              </w:rPr>
              <w:t>综合评分，</w:t>
            </w:r>
            <w:r>
              <w:rPr>
                <w:rFonts w:hint="eastAsia" w:ascii="仿宋" w:hAnsi="仿宋" w:eastAsia="仿宋" w:cs="仿宋"/>
                <w:color w:val="auto"/>
                <w:kern w:val="2"/>
                <w:sz w:val="24"/>
                <w:szCs w:val="24"/>
                <w:highlight w:val="none"/>
                <w:lang w:val="en-US" w:eastAsia="zh-CN" w:bidi="ar"/>
              </w:rPr>
              <w:t>内容全面完整，方案合理得当的得10分；方案欠佳或存在明显缺陷的每项扣2分，扣完为止。不提供不得分。</w:t>
            </w:r>
          </w:p>
        </w:tc>
        <w:tc>
          <w:tcPr>
            <w:tcW w:w="820" w:type="dxa"/>
            <w:tcBorders>
              <w:tl2br w:val="nil"/>
              <w:tr2bl w:val="nil"/>
            </w:tcBorders>
            <w:vAlign w:val="center"/>
          </w:tcPr>
          <w:p w14:paraId="45D8B7DD">
            <w:pPr>
              <w:widowControl/>
              <w:tabs>
                <w:tab w:val="left" w:pos="0"/>
                <w:tab w:val="left" w:pos="993"/>
                <w:tab w:val="left" w:pos="1134"/>
              </w:tabs>
              <w:snapToGrid w:val="0"/>
              <w:spacing w:line="420" w:lineRule="exact"/>
              <w:jc w:val="center"/>
              <w:rPr>
                <w:rFonts w:hint="eastAsia" w:ascii="仿宋" w:hAnsi="仿宋" w:eastAsia="仿宋" w:cs="仿宋"/>
                <w:b/>
                <w:color w:val="auto"/>
                <w:kern w:val="0"/>
                <w:sz w:val="24"/>
                <w:highlight w:val="none"/>
                <w:lang w:val="en-US" w:eastAsia="zh-CN"/>
              </w:rPr>
            </w:pPr>
            <w:r>
              <w:rPr>
                <w:rFonts w:hint="eastAsia" w:ascii="仿宋" w:hAnsi="仿宋" w:eastAsia="仿宋" w:cs="仿宋"/>
                <w:b/>
                <w:color w:val="auto"/>
                <w:kern w:val="0"/>
                <w:sz w:val="24"/>
                <w:highlight w:val="none"/>
                <w:lang w:val="en-US" w:eastAsia="zh-CN"/>
              </w:rPr>
              <w:t>10分</w:t>
            </w:r>
          </w:p>
        </w:tc>
      </w:tr>
      <w:tr w14:paraId="4BECCFB1">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698" w:type="dxa"/>
            <w:tcBorders>
              <w:tl2br w:val="nil"/>
              <w:tr2bl w:val="nil"/>
            </w:tcBorders>
            <w:vAlign w:val="center"/>
          </w:tcPr>
          <w:p w14:paraId="5EB8970B">
            <w:pPr>
              <w:widowControl/>
              <w:tabs>
                <w:tab w:val="left" w:pos="0"/>
                <w:tab w:val="left" w:pos="993"/>
                <w:tab w:val="left" w:pos="1134"/>
              </w:tabs>
              <w:snapToGrid w:val="0"/>
              <w:spacing w:line="420" w:lineRule="exact"/>
              <w:jc w:val="center"/>
              <w:rPr>
                <w:rFonts w:hint="eastAsia" w:ascii="仿宋" w:hAnsi="仿宋" w:eastAsia="仿宋" w:cs="仿宋"/>
                <w:bCs/>
                <w:color w:val="auto"/>
                <w:kern w:val="0"/>
                <w:sz w:val="24"/>
                <w:highlight w:val="none"/>
                <w:lang w:eastAsia="zh-CN"/>
              </w:rPr>
            </w:pPr>
            <w:r>
              <w:rPr>
                <w:rFonts w:hint="eastAsia" w:ascii="仿宋" w:hAnsi="仿宋" w:eastAsia="仿宋" w:cs="仿宋"/>
                <w:bCs/>
                <w:color w:val="auto"/>
                <w:kern w:val="0"/>
                <w:sz w:val="24"/>
                <w:highlight w:val="none"/>
                <w:lang w:val="en-US" w:eastAsia="zh-CN"/>
              </w:rPr>
              <w:t>5</w:t>
            </w:r>
          </w:p>
        </w:tc>
        <w:tc>
          <w:tcPr>
            <w:tcW w:w="1389" w:type="dxa"/>
            <w:tcBorders>
              <w:tl2br w:val="nil"/>
              <w:tr2bl w:val="nil"/>
            </w:tcBorders>
            <w:vAlign w:val="center"/>
          </w:tcPr>
          <w:p w14:paraId="5F5BFF10">
            <w:pPr>
              <w:pStyle w:val="14"/>
              <w:spacing w:line="340" w:lineRule="atLeast"/>
              <w:jc w:val="center"/>
              <w:rPr>
                <w:rFonts w:hint="eastAsia" w:ascii="仿宋" w:hAnsi="仿宋" w:eastAsia="仿宋" w:cs="仿宋"/>
                <w:b/>
                <w:color w:val="auto"/>
                <w:kern w:val="0"/>
                <w:sz w:val="24"/>
                <w:highlight w:val="none"/>
              </w:rPr>
            </w:pPr>
            <w:r>
              <w:rPr>
                <w:rFonts w:hint="eastAsia" w:ascii="仿宋" w:hAnsi="仿宋" w:eastAsia="仿宋" w:cs="仿宋"/>
                <w:b/>
                <w:color w:val="auto"/>
                <w:sz w:val="24"/>
                <w:szCs w:val="24"/>
                <w:highlight w:val="none"/>
              </w:rPr>
              <w:t>企业业绩</w:t>
            </w:r>
          </w:p>
        </w:tc>
        <w:tc>
          <w:tcPr>
            <w:tcW w:w="6863" w:type="dxa"/>
            <w:tcBorders>
              <w:tl2br w:val="nil"/>
              <w:tr2bl w:val="nil"/>
            </w:tcBorders>
            <w:vAlign w:val="center"/>
          </w:tcPr>
          <w:p w14:paraId="207763CC">
            <w:pPr>
              <w:spacing w:line="360" w:lineRule="auto"/>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自20</w:t>
            </w:r>
            <w:r>
              <w:rPr>
                <w:rFonts w:hint="eastAsia" w:ascii="仿宋" w:hAnsi="仿宋" w:eastAsia="仿宋" w:cs="仿宋"/>
                <w:color w:val="auto"/>
                <w:sz w:val="24"/>
                <w:highlight w:val="none"/>
                <w:lang w:val="en-US" w:eastAsia="zh-CN"/>
              </w:rPr>
              <w:t>22</w:t>
            </w:r>
            <w:r>
              <w:rPr>
                <w:rFonts w:hint="eastAsia" w:ascii="仿宋" w:hAnsi="仿宋" w:eastAsia="仿宋" w:cs="仿宋"/>
                <w:color w:val="auto"/>
                <w:sz w:val="24"/>
                <w:highlight w:val="none"/>
              </w:rPr>
              <w:t>年1月1日以来</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以合同签订时间为准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承接</w:t>
            </w:r>
            <w:r>
              <w:rPr>
                <w:rFonts w:hint="eastAsia" w:ascii="仿宋" w:hAnsi="仿宋" w:eastAsia="仿宋" w:cs="仿宋"/>
                <w:color w:val="auto"/>
                <w:sz w:val="24"/>
                <w:highlight w:val="none"/>
                <w:lang w:val="en-US" w:eastAsia="zh-CN"/>
              </w:rPr>
              <w:t>类似</w:t>
            </w:r>
            <w:r>
              <w:rPr>
                <w:rFonts w:hint="eastAsia" w:ascii="仿宋" w:hAnsi="仿宋" w:eastAsia="仿宋" w:cs="仿宋"/>
                <w:color w:val="auto"/>
                <w:sz w:val="24"/>
                <w:highlight w:val="none"/>
              </w:rPr>
              <w:t>项目</w:t>
            </w:r>
            <w:r>
              <w:rPr>
                <w:rFonts w:hint="eastAsia" w:ascii="仿宋" w:hAnsi="仿宋" w:eastAsia="仿宋" w:cs="仿宋"/>
                <w:color w:val="auto"/>
                <w:sz w:val="24"/>
                <w:highlight w:val="none"/>
                <w:lang w:val="en-US" w:eastAsia="zh-CN"/>
              </w:rPr>
              <w:t>的，</w:t>
            </w:r>
            <w:r>
              <w:rPr>
                <w:rFonts w:hint="eastAsia" w:ascii="仿宋" w:hAnsi="仿宋" w:eastAsia="仿宋" w:cs="仿宋"/>
                <w:color w:val="auto"/>
                <w:sz w:val="24"/>
                <w:highlight w:val="none"/>
              </w:rPr>
              <w:t>每提供一个</w:t>
            </w:r>
            <w:r>
              <w:rPr>
                <w:rFonts w:hint="eastAsia" w:ascii="仿宋" w:hAnsi="仿宋" w:eastAsia="仿宋" w:cs="仿宋"/>
                <w:color w:val="auto"/>
                <w:sz w:val="24"/>
                <w:highlight w:val="none"/>
                <w:lang w:val="en-US" w:eastAsia="zh-CN"/>
              </w:rPr>
              <w:t>业绩</w:t>
            </w:r>
            <w:r>
              <w:rPr>
                <w:rFonts w:hint="eastAsia" w:ascii="仿宋" w:hAnsi="仿宋" w:eastAsia="仿宋" w:cs="仿宋"/>
                <w:color w:val="auto"/>
                <w:sz w:val="24"/>
                <w:highlight w:val="none"/>
              </w:rPr>
              <w:t>得</w:t>
            </w:r>
            <w:r>
              <w:rPr>
                <w:rFonts w:hint="eastAsia" w:ascii="仿宋" w:hAnsi="仿宋" w:eastAsia="仿宋" w:cs="仿宋"/>
                <w:color w:val="auto"/>
                <w:sz w:val="24"/>
                <w:highlight w:val="none"/>
                <w:lang w:val="en-US" w:eastAsia="zh-CN"/>
              </w:rPr>
              <w:t>0.5</w:t>
            </w:r>
            <w:r>
              <w:rPr>
                <w:rFonts w:hint="eastAsia" w:ascii="仿宋" w:hAnsi="仿宋" w:eastAsia="仿宋" w:cs="仿宋"/>
                <w:color w:val="auto"/>
                <w:sz w:val="24"/>
                <w:highlight w:val="none"/>
              </w:rPr>
              <w:t>分；最高</w:t>
            </w:r>
            <w:r>
              <w:rPr>
                <w:rFonts w:hint="eastAsia" w:ascii="仿宋" w:hAnsi="仿宋" w:eastAsia="仿宋" w:cs="仿宋"/>
                <w:color w:val="auto"/>
                <w:sz w:val="24"/>
                <w:highlight w:val="none"/>
                <w:lang w:val="en-US" w:eastAsia="zh-CN"/>
              </w:rPr>
              <w:t>得2</w:t>
            </w:r>
            <w:r>
              <w:rPr>
                <w:rFonts w:hint="eastAsia" w:ascii="仿宋" w:hAnsi="仿宋" w:eastAsia="仿宋" w:cs="仿宋"/>
                <w:color w:val="auto"/>
                <w:sz w:val="24"/>
                <w:highlight w:val="none"/>
              </w:rPr>
              <w:t>分。</w:t>
            </w:r>
          </w:p>
          <w:p w14:paraId="2E0445AD">
            <w:pPr>
              <w:spacing w:line="360" w:lineRule="auto"/>
              <w:ind w:firstLine="241" w:firstLineChars="100"/>
              <w:rPr>
                <w:rFonts w:hint="eastAsia" w:ascii="仿宋" w:hAnsi="仿宋" w:eastAsia="仿宋" w:cs="仿宋"/>
                <w:color w:val="auto"/>
                <w:sz w:val="24"/>
                <w:highlight w:val="none"/>
              </w:rPr>
            </w:pPr>
            <w:r>
              <w:rPr>
                <w:rFonts w:hint="eastAsia" w:ascii="仿宋" w:hAnsi="仿宋" w:eastAsia="仿宋" w:cs="仿宋"/>
                <w:b/>
                <w:bCs/>
                <w:color w:val="auto"/>
                <w:sz w:val="24"/>
                <w:highlight w:val="none"/>
                <w:u w:val="single"/>
                <w:lang w:val="en-US" w:eastAsia="zh-CN"/>
              </w:rPr>
              <w:t>注：</w:t>
            </w:r>
            <w:r>
              <w:rPr>
                <w:rFonts w:hint="eastAsia" w:ascii="仿宋" w:hAnsi="仿宋" w:eastAsia="仿宋" w:cs="仿宋"/>
                <w:b/>
                <w:bCs/>
                <w:color w:val="auto"/>
                <w:sz w:val="24"/>
                <w:highlight w:val="none"/>
                <w:u w:val="single"/>
              </w:rPr>
              <w:t>提供</w:t>
            </w:r>
            <w:r>
              <w:rPr>
                <w:rFonts w:hint="eastAsia" w:ascii="仿宋" w:hAnsi="仿宋" w:eastAsia="仿宋" w:cs="仿宋"/>
                <w:b/>
                <w:bCs/>
                <w:color w:val="auto"/>
                <w:sz w:val="24"/>
                <w:highlight w:val="none"/>
                <w:u w:val="single"/>
                <w:lang w:val="en-US" w:eastAsia="zh-CN"/>
              </w:rPr>
              <w:t>项目</w:t>
            </w:r>
            <w:r>
              <w:rPr>
                <w:rFonts w:hint="eastAsia" w:ascii="仿宋" w:hAnsi="仿宋" w:eastAsia="仿宋" w:cs="仿宋"/>
                <w:b/>
                <w:bCs/>
                <w:color w:val="auto"/>
                <w:sz w:val="24"/>
                <w:highlight w:val="none"/>
                <w:u w:val="single"/>
              </w:rPr>
              <w:t>合同及中标（成交）通知书</w:t>
            </w:r>
            <w:r>
              <w:rPr>
                <w:rFonts w:hint="eastAsia" w:ascii="仿宋" w:hAnsi="仿宋" w:eastAsia="仿宋" w:cs="仿宋"/>
                <w:b/>
                <w:bCs/>
                <w:color w:val="auto"/>
                <w:sz w:val="24"/>
                <w:highlight w:val="none"/>
                <w:u w:val="single"/>
                <w:lang w:eastAsia="zh-CN"/>
              </w:rPr>
              <w:t>，</w:t>
            </w:r>
            <w:r>
              <w:rPr>
                <w:rFonts w:hint="eastAsia" w:ascii="仿宋" w:hAnsi="仿宋" w:eastAsia="仿宋" w:cs="仿宋"/>
                <w:b/>
                <w:bCs/>
                <w:color w:val="auto"/>
                <w:sz w:val="24"/>
                <w:highlight w:val="none"/>
                <w:u w:val="single"/>
              </w:rPr>
              <w:t>复印件加盖</w:t>
            </w:r>
            <w:r>
              <w:rPr>
                <w:rFonts w:hint="eastAsia" w:ascii="仿宋" w:hAnsi="仿宋" w:eastAsia="仿宋" w:cs="仿宋"/>
                <w:b/>
                <w:bCs/>
                <w:color w:val="auto"/>
                <w:sz w:val="24"/>
                <w:highlight w:val="none"/>
                <w:u w:val="single"/>
                <w:lang w:val="en-US" w:eastAsia="zh-CN"/>
              </w:rPr>
              <w:t>投标人单位</w:t>
            </w:r>
            <w:r>
              <w:rPr>
                <w:rFonts w:hint="eastAsia" w:ascii="仿宋" w:hAnsi="仿宋" w:eastAsia="仿宋" w:cs="仿宋"/>
                <w:b/>
                <w:bCs/>
                <w:color w:val="auto"/>
                <w:sz w:val="24"/>
                <w:highlight w:val="none"/>
                <w:u w:val="single"/>
              </w:rPr>
              <w:t>公章，</w:t>
            </w:r>
            <w:r>
              <w:rPr>
                <w:rFonts w:hint="eastAsia" w:ascii="仿宋" w:hAnsi="仿宋" w:eastAsia="仿宋" w:cs="仿宋"/>
                <w:b/>
                <w:bCs/>
                <w:color w:val="auto"/>
                <w:sz w:val="24"/>
                <w:highlight w:val="none"/>
                <w:u w:val="single"/>
                <w:lang w:val="en-US" w:eastAsia="zh-CN"/>
              </w:rPr>
              <w:t>否则</w:t>
            </w:r>
            <w:r>
              <w:rPr>
                <w:rFonts w:hint="eastAsia" w:ascii="仿宋" w:hAnsi="仿宋" w:eastAsia="仿宋" w:cs="仿宋"/>
                <w:b/>
                <w:bCs/>
                <w:color w:val="auto"/>
                <w:sz w:val="24"/>
                <w:highlight w:val="none"/>
                <w:u w:val="single"/>
              </w:rPr>
              <w:t>不得分。</w:t>
            </w:r>
          </w:p>
        </w:tc>
        <w:tc>
          <w:tcPr>
            <w:tcW w:w="820" w:type="dxa"/>
            <w:tcBorders>
              <w:tl2br w:val="nil"/>
              <w:tr2bl w:val="nil"/>
            </w:tcBorders>
            <w:vAlign w:val="center"/>
          </w:tcPr>
          <w:p w14:paraId="223DFA42">
            <w:pPr>
              <w:widowControl/>
              <w:tabs>
                <w:tab w:val="left" w:pos="0"/>
                <w:tab w:val="left" w:pos="993"/>
                <w:tab w:val="left" w:pos="1134"/>
              </w:tabs>
              <w:snapToGrid w:val="0"/>
              <w:spacing w:line="420" w:lineRule="exact"/>
              <w:jc w:val="center"/>
              <w:rPr>
                <w:rFonts w:hint="eastAsia" w:ascii="仿宋" w:hAnsi="仿宋" w:eastAsia="仿宋" w:cs="仿宋"/>
                <w:b/>
                <w:color w:val="auto"/>
                <w:kern w:val="0"/>
                <w:sz w:val="24"/>
                <w:highlight w:val="none"/>
                <w:lang w:val="en-US" w:eastAsia="zh-CN"/>
              </w:rPr>
            </w:pPr>
            <w:r>
              <w:rPr>
                <w:rFonts w:hint="eastAsia" w:ascii="仿宋" w:hAnsi="仿宋" w:eastAsia="仿宋" w:cs="仿宋"/>
                <w:b/>
                <w:color w:val="auto"/>
                <w:kern w:val="0"/>
                <w:sz w:val="24"/>
                <w:highlight w:val="none"/>
                <w:lang w:val="en-US" w:eastAsia="zh-CN"/>
              </w:rPr>
              <w:t>2分</w:t>
            </w:r>
          </w:p>
        </w:tc>
      </w:tr>
      <w:tr w14:paraId="7B5E5D07">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698" w:type="dxa"/>
            <w:tcBorders>
              <w:tl2br w:val="nil"/>
              <w:tr2bl w:val="nil"/>
            </w:tcBorders>
            <w:vAlign w:val="center"/>
          </w:tcPr>
          <w:p w14:paraId="4302FA12">
            <w:pPr>
              <w:widowControl/>
              <w:tabs>
                <w:tab w:val="left" w:pos="0"/>
                <w:tab w:val="left" w:pos="993"/>
                <w:tab w:val="left" w:pos="1134"/>
              </w:tabs>
              <w:snapToGrid w:val="0"/>
              <w:spacing w:line="420" w:lineRule="exact"/>
              <w:jc w:val="center"/>
              <w:rPr>
                <w:rFonts w:hint="eastAsia" w:ascii="仿宋" w:hAnsi="仿宋" w:eastAsia="仿宋" w:cs="仿宋"/>
                <w:bCs/>
                <w:color w:val="auto"/>
                <w:kern w:val="0"/>
                <w:sz w:val="24"/>
                <w:highlight w:val="none"/>
                <w:lang w:eastAsia="zh-CN"/>
              </w:rPr>
            </w:pPr>
            <w:r>
              <w:rPr>
                <w:rFonts w:hint="eastAsia" w:ascii="仿宋" w:hAnsi="仿宋" w:eastAsia="仿宋" w:cs="仿宋"/>
                <w:bCs/>
                <w:color w:val="auto"/>
                <w:kern w:val="0"/>
                <w:sz w:val="24"/>
                <w:highlight w:val="none"/>
                <w:lang w:val="en-US" w:eastAsia="zh-CN"/>
              </w:rPr>
              <w:t>6</w:t>
            </w:r>
          </w:p>
        </w:tc>
        <w:tc>
          <w:tcPr>
            <w:tcW w:w="1389" w:type="dxa"/>
            <w:tcBorders>
              <w:tl2br w:val="nil"/>
              <w:tr2bl w:val="nil"/>
            </w:tcBorders>
            <w:vAlign w:val="center"/>
          </w:tcPr>
          <w:p w14:paraId="7380018B">
            <w:pPr>
              <w:pStyle w:val="14"/>
              <w:spacing w:line="340" w:lineRule="atLeast"/>
              <w:jc w:val="center"/>
              <w:rPr>
                <w:rFonts w:hint="eastAsia" w:ascii="仿宋" w:hAnsi="仿宋" w:eastAsia="仿宋" w:cs="仿宋"/>
                <w:b/>
                <w:color w:val="auto"/>
                <w:kern w:val="0"/>
                <w:sz w:val="24"/>
                <w:highlight w:val="none"/>
              </w:rPr>
            </w:pPr>
            <w:r>
              <w:rPr>
                <w:rFonts w:hint="eastAsia" w:ascii="仿宋" w:hAnsi="仿宋" w:eastAsia="仿宋" w:cs="仿宋"/>
                <w:b/>
                <w:bCs/>
                <w:color w:val="auto"/>
                <w:sz w:val="24"/>
                <w:szCs w:val="24"/>
                <w:highlight w:val="none"/>
              </w:rPr>
              <w:t>企业认证</w:t>
            </w:r>
          </w:p>
        </w:tc>
        <w:tc>
          <w:tcPr>
            <w:tcW w:w="6863" w:type="dxa"/>
            <w:tcBorders>
              <w:tl2br w:val="nil"/>
              <w:tr2bl w:val="nil"/>
            </w:tcBorders>
            <w:vAlign w:val="center"/>
          </w:tcPr>
          <w:p w14:paraId="74934CF0">
            <w:pPr>
              <w:widowControl/>
              <w:tabs>
                <w:tab w:val="left" w:pos="0"/>
                <w:tab w:val="left" w:pos="993"/>
                <w:tab w:val="left" w:pos="1134"/>
              </w:tabs>
              <w:snapToGrid w:val="0"/>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投标人</w:t>
            </w:r>
            <w:r>
              <w:rPr>
                <w:rFonts w:hint="eastAsia" w:ascii="仿宋" w:hAnsi="仿宋" w:eastAsia="仿宋" w:cs="仿宋"/>
                <w:color w:val="auto"/>
                <w:kern w:val="0"/>
                <w:sz w:val="24"/>
                <w:highlight w:val="none"/>
              </w:rPr>
              <w:t>具有国家认证认可监督管理委员会批准认可的认证机构颁发的，且在有效期内的环境管理体系认证、职业健康安全管理体认证、质量管理体系认证证书的</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每提供 1 个得 2 分，最高得 6 分。</w:t>
            </w:r>
          </w:p>
          <w:p w14:paraId="4204A685">
            <w:pPr>
              <w:widowControl/>
              <w:tabs>
                <w:tab w:val="left" w:pos="0"/>
                <w:tab w:val="left" w:pos="993"/>
                <w:tab w:val="left" w:pos="1134"/>
              </w:tabs>
              <w:snapToGrid w:val="0"/>
              <w:spacing w:line="360" w:lineRule="auto"/>
              <w:ind w:firstLine="241" w:firstLineChars="100"/>
              <w:jc w:val="left"/>
              <w:rPr>
                <w:rFonts w:hint="eastAsia" w:ascii="仿宋" w:hAnsi="仿宋" w:eastAsia="仿宋" w:cs="仿宋"/>
                <w:color w:val="auto"/>
                <w:kern w:val="0"/>
                <w:sz w:val="24"/>
                <w:highlight w:val="none"/>
              </w:rPr>
            </w:pPr>
            <w:r>
              <w:rPr>
                <w:rFonts w:hint="eastAsia" w:ascii="仿宋" w:hAnsi="仿宋" w:eastAsia="仿宋" w:cs="仿宋"/>
                <w:b/>
                <w:bCs/>
                <w:color w:val="auto"/>
                <w:kern w:val="0"/>
                <w:sz w:val="24"/>
                <w:highlight w:val="none"/>
                <w:u w:val="single"/>
                <w:lang w:val="en-US" w:eastAsia="zh-CN"/>
              </w:rPr>
              <w:t>注：</w:t>
            </w:r>
            <w:r>
              <w:rPr>
                <w:rFonts w:hint="eastAsia" w:ascii="仿宋" w:hAnsi="仿宋" w:eastAsia="仿宋" w:cs="仿宋"/>
                <w:b/>
                <w:bCs/>
                <w:color w:val="auto"/>
                <w:kern w:val="0"/>
                <w:sz w:val="24"/>
                <w:highlight w:val="none"/>
                <w:u w:val="single"/>
              </w:rPr>
              <w:t>提供证书扫描件及全国认证认可信息公共服务平台网站截图</w:t>
            </w:r>
            <w:r>
              <w:rPr>
                <w:rFonts w:hint="eastAsia" w:ascii="仿宋" w:hAnsi="仿宋" w:eastAsia="仿宋" w:cs="仿宋"/>
                <w:b/>
                <w:bCs/>
                <w:color w:val="auto"/>
                <w:kern w:val="0"/>
                <w:sz w:val="24"/>
                <w:highlight w:val="none"/>
                <w:u w:val="single"/>
                <w:lang w:eastAsia="zh-CN"/>
              </w:rPr>
              <w:t>，</w:t>
            </w:r>
            <w:r>
              <w:rPr>
                <w:rFonts w:hint="eastAsia" w:ascii="仿宋" w:hAnsi="仿宋" w:eastAsia="仿宋" w:cs="仿宋"/>
                <w:b/>
                <w:bCs/>
                <w:color w:val="auto"/>
                <w:kern w:val="0"/>
                <w:sz w:val="24"/>
                <w:highlight w:val="none"/>
                <w:u w:val="single"/>
              </w:rPr>
              <w:t>加盖</w:t>
            </w:r>
            <w:r>
              <w:rPr>
                <w:rFonts w:hint="eastAsia" w:ascii="仿宋" w:hAnsi="仿宋" w:eastAsia="仿宋" w:cs="仿宋"/>
                <w:b/>
                <w:bCs/>
                <w:color w:val="auto"/>
                <w:kern w:val="0"/>
                <w:sz w:val="24"/>
                <w:highlight w:val="none"/>
                <w:u w:val="single"/>
                <w:lang w:val="en-US" w:eastAsia="zh-CN"/>
              </w:rPr>
              <w:t>投标人单位</w:t>
            </w:r>
            <w:r>
              <w:rPr>
                <w:rFonts w:hint="eastAsia" w:ascii="仿宋" w:hAnsi="仿宋" w:eastAsia="仿宋" w:cs="仿宋"/>
                <w:b/>
                <w:bCs/>
                <w:color w:val="auto"/>
                <w:kern w:val="0"/>
                <w:sz w:val="24"/>
                <w:highlight w:val="none"/>
                <w:u w:val="single"/>
              </w:rPr>
              <w:t>公章，不提供不得分。</w:t>
            </w:r>
          </w:p>
        </w:tc>
        <w:tc>
          <w:tcPr>
            <w:tcW w:w="820" w:type="dxa"/>
            <w:tcBorders>
              <w:tl2br w:val="nil"/>
              <w:tr2bl w:val="nil"/>
            </w:tcBorders>
            <w:vAlign w:val="center"/>
          </w:tcPr>
          <w:p w14:paraId="7E26A7C4">
            <w:pPr>
              <w:widowControl/>
              <w:tabs>
                <w:tab w:val="left" w:pos="0"/>
                <w:tab w:val="left" w:pos="993"/>
                <w:tab w:val="left" w:pos="1134"/>
              </w:tabs>
              <w:snapToGrid w:val="0"/>
              <w:spacing w:line="420" w:lineRule="exact"/>
              <w:jc w:val="center"/>
              <w:rPr>
                <w:rFonts w:hint="eastAsia" w:ascii="仿宋" w:hAnsi="仿宋" w:eastAsia="仿宋" w:cs="仿宋"/>
                <w:b/>
                <w:color w:val="auto"/>
                <w:kern w:val="0"/>
                <w:sz w:val="24"/>
                <w:highlight w:val="none"/>
                <w:lang w:val="en-US" w:eastAsia="zh-CN"/>
              </w:rPr>
            </w:pPr>
            <w:r>
              <w:rPr>
                <w:rFonts w:hint="eastAsia" w:ascii="仿宋" w:hAnsi="仿宋" w:eastAsia="仿宋" w:cs="仿宋"/>
                <w:b/>
                <w:color w:val="auto"/>
                <w:kern w:val="0"/>
                <w:sz w:val="24"/>
                <w:highlight w:val="none"/>
                <w:lang w:val="en-US" w:eastAsia="zh-CN"/>
              </w:rPr>
              <w:t>6分</w:t>
            </w:r>
          </w:p>
        </w:tc>
      </w:tr>
    </w:tbl>
    <w:p w14:paraId="24DB1487">
      <w:pPr>
        <w:spacing w:line="570" w:lineRule="exact"/>
        <w:rPr>
          <w:rFonts w:hint="eastAsia" w:ascii="仿宋" w:hAnsi="仿宋" w:eastAsia="仿宋" w:cs="仿宋"/>
          <w:color w:val="auto"/>
          <w:highlight w:val="none"/>
        </w:rPr>
      </w:pPr>
      <w:r>
        <w:rPr>
          <w:rFonts w:hint="eastAsia" w:ascii="仿宋" w:hAnsi="仿宋" w:eastAsia="仿宋" w:cs="仿宋"/>
          <w:b w:val="0"/>
          <w:bCs w:val="0"/>
          <w:color w:val="auto"/>
          <w:sz w:val="24"/>
          <w:highlight w:val="none"/>
          <w:lang w:val="en-US" w:eastAsia="zh-CN"/>
        </w:rPr>
        <w:t>注：</w:t>
      </w:r>
      <w:r>
        <w:rPr>
          <w:rFonts w:hint="eastAsia" w:ascii="仿宋" w:hAnsi="仿宋" w:eastAsia="仿宋" w:cs="仿宋"/>
          <w:b w:val="0"/>
          <w:bCs w:val="0"/>
          <w:color w:val="auto"/>
          <w:sz w:val="24"/>
          <w:highlight w:val="none"/>
        </w:rPr>
        <w:t>以上内容缺项的，相应得分按0分计，若是联合体投标，联合体成员单位任何一方有相应的业绩、人员或设备都予以认可得分。</w:t>
      </w:r>
    </w:p>
    <w:p w14:paraId="22D362FF">
      <w:pPr>
        <w:pStyle w:val="3"/>
        <w:keepNext w:val="0"/>
        <w:pageBreakBefore/>
        <w:numPr>
          <w:ilvl w:val="0"/>
          <w:numId w:val="8"/>
        </w:numPr>
        <w:spacing w:line="360" w:lineRule="auto"/>
        <w:jc w:val="center"/>
        <w:rPr>
          <w:rFonts w:hint="eastAsia" w:ascii="仿宋" w:hAnsi="仿宋" w:eastAsia="仿宋" w:cs="仿宋"/>
          <w:color w:val="auto"/>
          <w:sz w:val="32"/>
          <w:highlight w:val="none"/>
          <w:lang w:val="en-US" w:eastAsia="zh-CN"/>
        </w:rPr>
      </w:pPr>
      <w:r>
        <w:rPr>
          <w:rFonts w:hint="eastAsia" w:ascii="仿宋" w:hAnsi="仿宋" w:eastAsia="仿宋" w:cs="仿宋"/>
          <w:color w:val="auto"/>
          <w:sz w:val="32"/>
          <w:highlight w:val="none"/>
          <w:lang w:val="en-US" w:eastAsia="zh-CN"/>
        </w:rPr>
        <w:t xml:space="preserve"> 合同主要条款</w:t>
      </w:r>
    </w:p>
    <w:p w14:paraId="297356BF">
      <w:pPr>
        <w:keepNext w:val="0"/>
        <w:keepLines w:val="0"/>
        <w:pageBreakBefore w:val="0"/>
        <w:kinsoku/>
        <w:wordWrap/>
        <w:overflowPunct/>
        <w:topLinePunct w:val="0"/>
        <w:autoSpaceDE/>
        <w:autoSpaceDN/>
        <w:bidi w:val="0"/>
        <w:spacing w:line="460" w:lineRule="exact"/>
        <w:jc w:val="center"/>
        <w:textAlignment w:val="auto"/>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浙江省政府采购合同范本</w:t>
      </w:r>
    </w:p>
    <w:p w14:paraId="109C87E1">
      <w:pPr>
        <w:keepNext w:val="0"/>
        <w:keepLines w:val="0"/>
        <w:pageBreakBefore w:val="0"/>
        <w:kinsoku/>
        <w:wordWrap/>
        <w:overflowPunct/>
        <w:topLinePunct w:val="0"/>
        <w:autoSpaceDE/>
        <w:autoSpaceDN/>
        <w:bidi w:val="0"/>
        <w:spacing w:line="460" w:lineRule="exact"/>
        <w:jc w:val="center"/>
        <w:textAlignment w:val="auto"/>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（以最终合同为准）</w:t>
      </w:r>
    </w:p>
    <w:p w14:paraId="42712CCC">
      <w:pPr>
        <w:spacing w:line="360" w:lineRule="auto"/>
        <w:rPr>
          <w:rFonts w:hint="eastAsia" w:ascii="仿宋" w:hAnsi="仿宋" w:eastAsia="仿宋" w:cs="仿宋"/>
          <w:b/>
          <w:bCs/>
          <w:color w:val="auto"/>
          <w:sz w:val="24"/>
          <w:highlight w:val="none"/>
        </w:rPr>
      </w:pPr>
    </w:p>
    <w:p w14:paraId="0CE3F760">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财政审批编号:       </w:t>
      </w:r>
      <w:r>
        <w:rPr>
          <w:rFonts w:hint="eastAsia" w:ascii="仿宋" w:hAnsi="仿宋" w:eastAsia="仿宋" w:cs="仿宋"/>
          <w:b/>
          <w:bCs/>
          <w:color w:val="auto"/>
          <w:sz w:val="24"/>
          <w:highlight w:val="none"/>
          <w:lang w:val="en-US" w:eastAsia="zh-CN"/>
        </w:rPr>
        <w:t xml:space="preserve">                     采购</w:t>
      </w:r>
      <w:r>
        <w:rPr>
          <w:rFonts w:hint="eastAsia" w:ascii="仿宋" w:hAnsi="仿宋" w:eastAsia="仿宋" w:cs="仿宋"/>
          <w:b/>
          <w:bCs/>
          <w:color w:val="auto"/>
          <w:sz w:val="24"/>
          <w:highlight w:val="none"/>
        </w:rPr>
        <w:t xml:space="preserve">文件编号:  </w:t>
      </w:r>
    </w:p>
    <w:p w14:paraId="7A406C83">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1.定义</w:t>
      </w:r>
    </w:p>
    <w:p w14:paraId="36093B2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本合同中的下列术语应解释为：</w:t>
      </w:r>
    </w:p>
    <w:p w14:paraId="58CA315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1.1“合同”系指供需双方签署的、合同格式中载明的供需双方所达成的协议，包括所有的附件、附录和构成合同的所有文件；</w:t>
      </w:r>
    </w:p>
    <w:p w14:paraId="3277D99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1.2“合同价”系指根据合同规定，采购人在供应商完全履行合同义务后应付给的价格；</w:t>
      </w:r>
    </w:p>
    <w:p w14:paraId="66C726C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1.3“货物”系指供应商根据合同规定向采购人提供的一切货物、质量保证书和其他技术资料及技术参数；</w:t>
      </w:r>
    </w:p>
    <w:p w14:paraId="7732F32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1.4“服务”系指根据合同规定供应商承担与供货有关的辅助服务，如运输、装卸、安装、保险以及其他的服务，例如安装、调试提供技术援助、培训和其他类似的义务；</w:t>
      </w:r>
    </w:p>
    <w:p w14:paraId="707BAB9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1.5“采购人”系指</w:t>
      </w:r>
      <w:r>
        <w:rPr>
          <w:rFonts w:hint="eastAsia" w:ascii="仿宋" w:hAnsi="仿宋" w:eastAsia="仿宋" w:cs="仿宋"/>
          <w:bCs/>
          <w:color w:val="auto"/>
          <w:sz w:val="24"/>
          <w:highlight w:val="none"/>
        </w:rPr>
        <w:t>具体使用货物和接受服务的使用单位；</w:t>
      </w:r>
    </w:p>
    <w:p w14:paraId="4CAB785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1.6“供应商”系指根据合同规定提供采购项目货物和服务的具有法人资格的公司、企业或实体；</w:t>
      </w:r>
    </w:p>
    <w:p w14:paraId="114B291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1.7“财政审批编号”系指市财政局审批编号。</w:t>
      </w:r>
    </w:p>
    <w:p w14:paraId="139673A0">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2.合同项目与内容</w:t>
      </w:r>
    </w:p>
    <w:p w14:paraId="1B086D94">
      <w:pPr>
        <w:spacing w:line="360" w:lineRule="auto"/>
        <w:ind w:left="420"/>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rPr>
        <w:t>合同总价：人民币</w:t>
      </w:r>
      <w:r>
        <w:rPr>
          <w:rFonts w:hint="eastAsia" w:ascii="仿宋" w:hAnsi="仿宋" w:eastAsia="仿宋" w:cs="仿宋"/>
          <w:bCs/>
          <w:color w:val="auto"/>
          <w:sz w:val="24"/>
          <w:szCs w:val="24"/>
          <w:highlight w:val="none"/>
          <w:u w:val="single"/>
        </w:rPr>
        <w:t xml:space="preserve">           元</w:t>
      </w:r>
      <w:r>
        <w:rPr>
          <w:rFonts w:hint="eastAsia" w:ascii="仿宋" w:hAnsi="仿宋" w:eastAsia="仿宋" w:cs="仿宋"/>
          <w:bCs/>
          <w:color w:val="auto"/>
          <w:sz w:val="24"/>
          <w:szCs w:val="24"/>
          <w:highlight w:val="none"/>
          <w:u w:val="none"/>
          <w:lang w:eastAsia="zh-CN"/>
        </w:rPr>
        <w:t>，</w:t>
      </w:r>
      <w:r>
        <w:rPr>
          <w:rFonts w:hint="eastAsia" w:ascii="仿宋" w:hAnsi="仿宋" w:eastAsia="仿宋" w:cs="仿宋"/>
          <w:color w:val="auto"/>
          <w:sz w:val="24"/>
          <w:szCs w:val="24"/>
          <w:highlight w:val="none"/>
        </w:rPr>
        <w:t>（折扣报价）：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3AA695BF">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w:t>
      </w:r>
      <w:r>
        <w:rPr>
          <w:rFonts w:hint="eastAsia" w:ascii="仿宋" w:hAnsi="仿宋" w:eastAsia="仿宋" w:cs="仿宋"/>
          <w:b/>
          <w:bCs/>
          <w:color w:val="auto"/>
          <w:sz w:val="24"/>
          <w:szCs w:val="24"/>
          <w:highlight w:val="none"/>
        </w:rPr>
        <w:t>服务</w:t>
      </w:r>
      <w:r>
        <w:rPr>
          <w:rFonts w:hint="eastAsia" w:ascii="仿宋" w:hAnsi="仿宋" w:eastAsia="仿宋" w:cs="仿宋"/>
          <w:b/>
          <w:bCs/>
          <w:color w:val="auto"/>
          <w:sz w:val="24"/>
          <w:highlight w:val="none"/>
        </w:rPr>
        <w:t>时间与服务地点</w:t>
      </w:r>
    </w:p>
    <w:p w14:paraId="7B821D5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服务时间：详见</w:t>
      </w:r>
      <w:r>
        <w:rPr>
          <w:rFonts w:hint="eastAsia" w:ascii="仿宋" w:hAnsi="仿宋" w:eastAsia="仿宋" w:cs="仿宋"/>
          <w:color w:val="auto"/>
          <w:sz w:val="24"/>
          <w:highlight w:val="none"/>
          <w:lang w:val="en-US" w:eastAsia="zh-CN"/>
        </w:rPr>
        <w:t>招标</w:t>
      </w:r>
      <w:r>
        <w:rPr>
          <w:rFonts w:hint="eastAsia" w:ascii="仿宋" w:hAnsi="仿宋" w:eastAsia="仿宋" w:cs="仿宋"/>
          <w:color w:val="auto"/>
          <w:sz w:val="24"/>
          <w:highlight w:val="none"/>
        </w:rPr>
        <w:t>文件要求；</w:t>
      </w:r>
    </w:p>
    <w:p w14:paraId="4526B2B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服务地点：由采购单位指定。</w:t>
      </w:r>
    </w:p>
    <w:p w14:paraId="1F84F8D0">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4.签署合同的要求</w:t>
      </w:r>
    </w:p>
    <w:p w14:paraId="6C90BC06">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4.1供应商必须按照响应文件和询标过程中承诺的条款以及成交通知书中规定的时间、地点与采购人签订合同；</w:t>
      </w:r>
    </w:p>
    <w:p w14:paraId="02EFFF9E">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4.2所签订的合同内容不得对</w:t>
      </w:r>
      <w:r>
        <w:rPr>
          <w:rFonts w:hint="eastAsia" w:ascii="仿宋" w:hAnsi="仿宋" w:eastAsia="仿宋" w:cs="仿宋"/>
          <w:bCs/>
          <w:color w:val="auto"/>
          <w:sz w:val="24"/>
          <w:highlight w:val="none"/>
          <w:lang w:val="en-US" w:eastAsia="zh-CN"/>
        </w:rPr>
        <w:t>招标</w:t>
      </w:r>
      <w:r>
        <w:rPr>
          <w:rFonts w:hint="eastAsia" w:ascii="仿宋" w:hAnsi="仿宋" w:eastAsia="仿宋" w:cs="仿宋"/>
          <w:bCs/>
          <w:color w:val="auto"/>
          <w:sz w:val="24"/>
          <w:highlight w:val="none"/>
        </w:rPr>
        <w:t>文件和供应商的响应文件作实质性修改；</w:t>
      </w:r>
    </w:p>
    <w:p w14:paraId="4974EFAC">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4.3采购人不得向供应商提出任何不合理的要求，作为签订合同的条件，不得与供应商私下订立背离合同实质性内容的协议；</w:t>
      </w:r>
    </w:p>
    <w:p w14:paraId="7745DF39">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4.4自采购合同签订之日起 7个工作日内，将采购合同副本 </w:t>
      </w:r>
      <w:r>
        <w:rPr>
          <w:rFonts w:hint="eastAsia" w:ascii="仿宋" w:hAnsi="仿宋" w:eastAsia="仿宋" w:cs="仿宋"/>
          <w:bCs/>
          <w:color w:val="auto"/>
          <w:sz w:val="24"/>
          <w:highlight w:val="none"/>
          <w:lang w:val="en-US" w:eastAsia="zh-CN"/>
        </w:rPr>
        <w:t>1</w:t>
      </w:r>
      <w:r>
        <w:rPr>
          <w:rFonts w:hint="eastAsia" w:ascii="仿宋" w:hAnsi="仿宋" w:eastAsia="仿宋" w:cs="仿宋"/>
          <w:bCs/>
          <w:color w:val="auto"/>
          <w:sz w:val="24"/>
          <w:highlight w:val="none"/>
        </w:rPr>
        <w:t>份送本项目招标代理机构备案。</w:t>
      </w:r>
    </w:p>
    <w:p w14:paraId="1EF12843">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5.技术规范</w:t>
      </w:r>
    </w:p>
    <w:p w14:paraId="1F06B5DC">
      <w:pPr>
        <w:spacing w:line="360" w:lineRule="auto"/>
        <w:ind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本合同执行国家及本省、市现行项目实施及验收规范及有关条例、实施办法等。</w:t>
      </w:r>
    </w:p>
    <w:p w14:paraId="47BC169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提供和交付的服务技术规范应与</w:t>
      </w:r>
      <w:r>
        <w:rPr>
          <w:rFonts w:hint="eastAsia" w:ascii="仿宋" w:hAnsi="仿宋" w:eastAsia="仿宋" w:cs="仿宋"/>
          <w:color w:val="auto"/>
          <w:sz w:val="24"/>
          <w:highlight w:val="none"/>
          <w:lang w:val="en-US" w:eastAsia="zh-CN"/>
        </w:rPr>
        <w:t>招标</w:t>
      </w:r>
      <w:r>
        <w:rPr>
          <w:rFonts w:hint="eastAsia" w:ascii="仿宋" w:hAnsi="仿宋" w:eastAsia="仿宋" w:cs="仿宋"/>
          <w:color w:val="auto"/>
          <w:sz w:val="24"/>
          <w:highlight w:val="none"/>
        </w:rPr>
        <w:t>文件规定的技术规范相一致。</w:t>
      </w:r>
    </w:p>
    <w:p w14:paraId="329B88CC">
      <w:pPr>
        <w:spacing w:line="360" w:lineRule="auto"/>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6.知识产权</w:t>
      </w:r>
    </w:p>
    <w:p w14:paraId="09F9338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供应商保证所提供的服务及货物均不存在知识产权纠纷。供应商应保证采购人在使用时不受第三方提出侵犯其专利权、商标权等知识产权的诉讼。</w:t>
      </w:r>
    </w:p>
    <w:p w14:paraId="1CD239F8">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7.付款方式：</w:t>
      </w:r>
    </w:p>
    <w:p w14:paraId="4F123910">
      <w:pPr>
        <w:numPr>
          <w:ilvl w:val="0"/>
          <w:numId w:val="0"/>
        </w:num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合同生效并具备实施条件后7日内支付年度合同价款的</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0%作为预付款，余款按单个</w:t>
      </w:r>
      <w:r>
        <w:rPr>
          <w:rFonts w:hint="eastAsia" w:ascii="仿宋" w:hAnsi="仿宋" w:eastAsia="仿宋" w:cs="仿宋"/>
          <w:color w:val="auto"/>
          <w:sz w:val="24"/>
          <w:highlight w:val="none"/>
          <w:lang w:eastAsia="zh-CN"/>
        </w:rPr>
        <w:t>项目</w:t>
      </w:r>
      <w:r>
        <w:rPr>
          <w:rFonts w:hint="eastAsia" w:ascii="仿宋" w:hAnsi="仿宋" w:eastAsia="仿宋" w:cs="仿宋"/>
          <w:color w:val="auto"/>
          <w:sz w:val="24"/>
          <w:highlight w:val="none"/>
        </w:rPr>
        <w:t>或当年实际完成的工程量，经验收合格，支付至核准价的100%。</w:t>
      </w:r>
    </w:p>
    <w:p w14:paraId="37642773">
      <w:pPr>
        <w:numPr>
          <w:ilvl w:val="0"/>
          <w:numId w:val="0"/>
        </w:num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注：若中标供应商明确表示无需预付款或者主动要求降低预付款比例的，采购人可不适用前述规定。</w:t>
      </w:r>
    </w:p>
    <w:p w14:paraId="2210B83F">
      <w:pPr>
        <w:numPr>
          <w:ilvl w:val="0"/>
          <w:numId w:val="9"/>
        </w:numPr>
        <w:spacing w:line="360" w:lineRule="auto"/>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支付：</w:t>
      </w:r>
      <w:r>
        <w:rPr>
          <w:rFonts w:hint="eastAsia" w:ascii="仿宋" w:hAnsi="仿宋" w:eastAsia="仿宋" w:cs="仿宋"/>
          <w:color w:val="auto"/>
          <w:sz w:val="24"/>
          <w:highlight w:val="none"/>
        </w:rPr>
        <w:t>支付应使用人民币；</w:t>
      </w:r>
    </w:p>
    <w:p w14:paraId="655E4D54">
      <w:pPr>
        <w:spacing w:line="360" w:lineRule="auto"/>
        <w:jc w:val="left"/>
        <w:rPr>
          <w:rFonts w:hint="eastAsia" w:ascii="仿宋" w:hAnsi="仿宋" w:eastAsia="仿宋" w:cs="仿宋"/>
          <w:b/>
          <w:bCs/>
          <w:color w:val="auto"/>
          <w:sz w:val="24"/>
          <w:highlight w:val="none"/>
        </w:rPr>
      </w:pPr>
      <w:r>
        <w:rPr>
          <w:rFonts w:hint="eastAsia" w:ascii="仿宋" w:hAnsi="仿宋" w:eastAsia="仿宋" w:cs="仿宋"/>
          <w:b/>
          <w:bCs w:val="0"/>
          <w:color w:val="auto"/>
          <w:sz w:val="24"/>
          <w:highlight w:val="none"/>
          <w:lang w:val="en-US" w:eastAsia="zh-CN"/>
        </w:rPr>
        <w:t>9.</w:t>
      </w:r>
      <w:r>
        <w:rPr>
          <w:rFonts w:hint="eastAsia" w:ascii="仿宋" w:hAnsi="仿宋" w:eastAsia="仿宋" w:cs="仿宋"/>
          <w:b/>
          <w:bCs w:val="0"/>
          <w:color w:val="auto"/>
          <w:sz w:val="24"/>
          <w:highlight w:val="none"/>
        </w:rPr>
        <w:t>结算依据：</w:t>
      </w:r>
    </w:p>
    <w:p w14:paraId="4D9387AD">
      <w:pPr>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 xml:space="preserve">1、有关定额、规范等依据： </w:t>
      </w:r>
    </w:p>
    <w:p w14:paraId="74EFCF80">
      <w:pPr>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（1）《建设工程工程量清单计价规范》（GB50500-2013）及建设工程工程量计算规范（2013）浙江省补充规定；</w:t>
      </w:r>
    </w:p>
    <w:p w14:paraId="40FBC803">
      <w:pPr>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（2）《市政工程工程量计算规范》（GB50857-2013）；</w:t>
      </w:r>
    </w:p>
    <w:p w14:paraId="353B5E0F">
      <w:pPr>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（3）《浙江省市政工程预算定额》（2018版）；</w:t>
      </w:r>
    </w:p>
    <w:p w14:paraId="062EA157">
      <w:pPr>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（4）《浙江省建设工程计价规则》（2018版）；</w:t>
      </w:r>
    </w:p>
    <w:p w14:paraId="743465C4">
      <w:pPr>
        <w:spacing w:line="360" w:lineRule="auto"/>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取费标准：</w:t>
      </w:r>
    </w:p>
    <w:p w14:paraId="3ECA9E4E">
      <w:pPr>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（1）本项目按市政道路工程取费。</w:t>
      </w:r>
    </w:p>
    <w:p w14:paraId="1A97A37C">
      <w:pPr>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（2）企业管理费、利润根据《浙江省建设工程计价规则》（2018版）规定，按照规定的中间值计取。</w:t>
      </w:r>
    </w:p>
    <w:p w14:paraId="5168C3DA">
      <w:pPr>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（3）施工组织措施项目费根据《浙江省建设工程计价规则》（2018版）规定的市政土建工程中间值计取，其中安全</w:t>
      </w:r>
      <w:r>
        <w:rPr>
          <w:rFonts w:hint="eastAsia" w:ascii="仿宋" w:hAnsi="仿宋" w:eastAsia="仿宋" w:cs="仿宋"/>
          <w:b w:val="0"/>
          <w:bCs w:val="0"/>
          <w:color w:val="auto"/>
          <w:sz w:val="24"/>
          <w:highlight w:val="none"/>
          <w:lang w:val="en-US" w:eastAsia="zh-CN"/>
        </w:rPr>
        <w:t>文明</w:t>
      </w:r>
      <w:r>
        <w:rPr>
          <w:rFonts w:hint="eastAsia" w:ascii="仿宋" w:hAnsi="仿宋" w:eastAsia="仿宋" w:cs="仿宋"/>
          <w:b w:val="0"/>
          <w:bCs w:val="0"/>
          <w:color w:val="auto"/>
          <w:sz w:val="24"/>
          <w:highlight w:val="none"/>
        </w:rPr>
        <w:t>施工基本费按市区工程计取。</w:t>
      </w:r>
    </w:p>
    <w:p w14:paraId="48AD7C4D">
      <w:pPr>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（4）规费：其费率根据《浙江省建设工程计价规则》（2018版）规定，按一般计税的费率计取；</w:t>
      </w:r>
    </w:p>
    <w:p w14:paraId="07D7A1EA">
      <w:pPr>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（5）税金按增值税（按一般计税方法）计取，根据浙建建发[2019]92号规定费率按9%计取；</w:t>
      </w:r>
    </w:p>
    <w:p w14:paraId="16DD70F8">
      <w:pPr>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（6）标化工地增加费及其他项目费（优质工程增加费及施工总承包服务费）不计。</w:t>
      </w:r>
    </w:p>
    <w:p w14:paraId="3639CC07">
      <w:pPr>
        <w:spacing w:line="360" w:lineRule="auto"/>
        <w:ind w:firstLine="480" w:firstLineChars="200"/>
        <w:jc w:val="left"/>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2、造价信息：</w:t>
      </w:r>
    </w:p>
    <w:p w14:paraId="07D96E6B">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b w:val="0"/>
          <w:bCs w:val="0"/>
          <w:color w:val="auto"/>
          <w:sz w:val="24"/>
          <w:highlight w:val="none"/>
        </w:rPr>
        <w:t>材料价格参照《湖州市建设工程造价信息》（</w:t>
      </w:r>
      <w:r>
        <w:rPr>
          <w:rFonts w:hint="eastAsia" w:ascii="仿宋" w:hAnsi="仿宋" w:eastAsia="仿宋" w:cs="仿宋"/>
          <w:b w:val="0"/>
          <w:bCs w:val="0"/>
          <w:color w:val="auto"/>
          <w:sz w:val="24"/>
          <w:highlight w:val="none"/>
          <w:lang w:val="en-US" w:eastAsia="zh-CN"/>
        </w:rPr>
        <w:t>施工期</w:t>
      </w:r>
      <w:r>
        <w:rPr>
          <w:rFonts w:hint="eastAsia" w:ascii="仿宋" w:hAnsi="仿宋" w:eastAsia="仿宋" w:cs="仿宋"/>
          <w:b w:val="0"/>
          <w:bCs w:val="0"/>
          <w:color w:val="auto"/>
          <w:sz w:val="24"/>
          <w:highlight w:val="none"/>
        </w:rPr>
        <w:t>）及同期《浙江造价信息》，人工价格参照《湖州市建设工程造价信息》（</w:t>
      </w:r>
      <w:r>
        <w:rPr>
          <w:rFonts w:hint="eastAsia" w:ascii="仿宋" w:hAnsi="仿宋" w:eastAsia="仿宋" w:cs="仿宋"/>
          <w:b w:val="0"/>
          <w:bCs w:val="0"/>
          <w:color w:val="auto"/>
          <w:sz w:val="24"/>
          <w:highlight w:val="none"/>
          <w:lang w:val="en-US" w:eastAsia="zh-CN"/>
        </w:rPr>
        <w:t>施工期</w:t>
      </w:r>
      <w:r>
        <w:rPr>
          <w:rFonts w:hint="eastAsia" w:ascii="仿宋" w:hAnsi="仿宋" w:eastAsia="仿宋" w:cs="仿宋"/>
          <w:b w:val="0"/>
          <w:bCs w:val="0"/>
          <w:color w:val="auto"/>
          <w:sz w:val="24"/>
          <w:highlight w:val="none"/>
        </w:rPr>
        <w:t>）。基本原则为参照《湖州市建设工程造价信息》中湖州市区栏，湖州市区栏没有的参照同期《浙江造价信息》，以上均无价格信息的通过市场询价，由承包人提出综合单价，经发包人确认后执行。</w:t>
      </w:r>
    </w:p>
    <w:p w14:paraId="3B04881A">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10</w:t>
      </w:r>
      <w:r>
        <w:rPr>
          <w:rFonts w:hint="eastAsia" w:ascii="仿宋" w:hAnsi="仿宋" w:eastAsia="仿宋" w:cs="仿宋"/>
          <w:b/>
          <w:bCs/>
          <w:color w:val="auto"/>
          <w:sz w:val="24"/>
          <w:highlight w:val="none"/>
        </w:rPr>
        <w:t>.技术服务</w:t>
      </w:r>
    </w:p>
    <w:p w14:paraId="5023038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供应商应负责安排采购人相关人员进行操作、维修的培训。具体时间及培训内容在投标时由供应商提出建议；</w:t>
      </w:r>
    </w:p>
    <w:p w14:paraId="0A9B89FC">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val="en-US" w:eastAsia="zh-CN"/>
        </w:rPr>
        <w:t>1</w:t>
      </w:r>
      <w:r>
        <w:rPr>
          <w:rFonts w:hint="eastAsia" w:ascii="仿宋" w:hAnsi="仿宋" w:eastAsia="仿宋" w:cs="仿宋"/>
          <w:b/>
          <w:bCs/>
          <w:color w:val="auto"/>
          <w:sz w:val="24"/>
          <w:highlight w:val="none"/>
        </w:rPr>
        <w:t>.售后服务及承诺</w:t>
      </w:r>
    </w:p>
    <w:p w14:paraId="7D5B7646">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w:t>
      </w:r>
      <w:r>
        <w:rPr>
          <w:rFonts w:hint="eastAsia" w:ascii="仿宋" w:hAnsi="仿宋" w:eastAsia="仿宋" w:cs="仿宋"/>
          <w:bCs/>
          <w:color w:val="auto"/>
          <w:sz w:val="24"/>
          <w:highlight w:val="none"/>
          <w:lang w:val="en-US" w:eastAsia="zh-CN"/>
        </w:rPr>
        <w:t>1</w:t>
      </w:r>
      <w:r>
        <w:rPr>
          <w:rFonts w:hint="eastAsia" w:ascii="仿宋" w:hAnsi="仿宋" w:eastAsia="仿宋" w:cs="仿宋"/>
          <w:bCs/>
          <w:color w:val="auto"/>
          <w:sz w:val="24"/>
          <w:highlight w:val="none"/>
        </w:rPr>
        <w:t>.1供应商应明确承诺售后服务各项内容和措施，提供详细的服务地点、联系人、电话等有关资料；</w:t>
      </w:r>
    </w:p>
    <w:p w14:paraId="6871BBEC">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w:t>
      </w:r>
      <w:r>
        <w:rPr>
          <w:rFonts w:hint="eastAsia" w:ascii="仿宋" w:hAnsi="仿宋" w:eastAsia="仿宋" w:cs="仿宋"/>
          <w:bCs/>
          <w:color w:val="auto"/>
          <w:sz w:val="24"/>
          <w:highlight w:val="none"/>
          <w:lang w:val="en-US" w:eastAsia="zh-CN"/>
        </w:rPr>
        <w:t>1</w:t>
      </w:r>
      <w:r>
        <w:rPr>
          <w:rFonts w:hint="eastAsia" w:ascii="仿宋" w:hAnsi="仿宋" w:eastAsia="仿宋" w:cs="仿宋"/>
          <w:bCs/>
          <w:color w:val="auto"/>
          <w:sz w:val="24"/>
          <w:highlight w:val="none"/>
        </w:rPr>
        <w:t>.2</w:t>
      </w:r>
      <w:r>
        <w:rPr>
          <w:rFonts w:hint="eastAsia" w:ascii="仿宋" w:hAnsi="仿宋" w:eastAsia="仿宋" w:cs="仿宋"/>
          <w:b/>
          <w:bCs/>
          <w:color w:val="auto"/>
          <w:sz w:val="24"/>
          <w:highlight w:val="none"/>
        </w:rPr>
        <w:t>服务期：详见</w:t>
      </w:r>
      <w:r>
        <w:rPr>
          <w:rFonts w:hint="eastAsia" w:ascii="仿宋" w:hAnsi="仿宋" w:eastAsia="仿宋" w:cs="仿宋"/>
          <w:b/>
          <w:bCs/>
          <w:color w:val="auto"/>
          <w:sz w:val="24"/>
          <w:highlight w:val="none"/>
          <w:lang w:val="en-US" w:eastAsia="zh-CN"/>
        </w:rPr>
        <w:t>招标</w:t>
      </w:r>
      <w:r>
        <w:rPr>
          <w:rFonts w:hint="eastAsia" w:ascii="仿宋" w:hAnsi="仿宋" w:eastAsia="仿宋" w:cs="仿宋"/>
          <w:b/>
          <w:bCs/>
          <w:color w:val="auto"/>
          <w:sz w:val="24"/>
          <w:highlight w:val="none"/>
        </w:rPr>
        <w:t>文件要求</w:t>
      </w:r>
      <w:r>
        <w:rPr>
          <w:rFonts w:hint="eastAsia" w:ascii="仿宋" w:hAnsi="仿宋" w:eastAsia="仿宋" w:cs="仿宋"/>
          <w:bCs/>
          <w:color w:val="auto"/>
          <w:sz w:val="24"/>
          <w:highlight w:val="none"/>
        </w:rPr>
        <w:t>。在服务期内，因服务质量所发生的一切费用均由供应商承担；</w:t>
      </w:r>
    </w:p>
    <w:p w14:paraId="729A1443">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rPr>
        <w:t>.履约保证及后续服务</w:t>
      </w:r>
    </w:p>
    <w:p w14:paraId="630EC7F7">
      <w:pPr>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 xml:space="preserve">.1 </w:t>
      </w:r>
      <w:r>
        <w:rPr>
          <w:rFonts w:hint="eastAsia" w:ascii="仿宋" w:hAnsi="仿宋" w:eastAsia="仿宋" w:cs="仿宋"/>
          <w:b w:val="0"/>
          <w:bCs w:val="0"/>
          <w:color w:val="auto"/>
          <w:sz w:val="24"/>
          <w:szCs w:val="24"/>
          <w:highlight w:val="none"/>
        </w:rPr>
        <w:t>供应商应在签订本合同之日起</w:t>
      </w:r>
      <w:r>
        <w:rPr>
          <w:rFonts w:hint="eastAsia" w:ascii="仿宋" w:hAnsi="仿宋" w:eastAsia="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rPr>
        <w:t>日内</w:t>
      </w:r>
      <w:r>
        <w:rPr>
          <w:rFonts w:hint="eastAsia" w:ascii="仿宋" w:hAnsi="仿宋" w:eastAsia="仿宋" w:cs="仿宋"/>
          <w:b w:val="0"/>
          <w:bCs w:val="0"/>
          <w:color w:val="auto"/>
          <w:sz w:val="24"/>
          <w:szCs w:val="24"/>
          <w:highlight w:val="none"/>
          <w:lang w:eastAsia="zh-CN"/>
        </w:rPr>
        <w:t>缴纳</w:t>
      </w:r>
      <w:r>
        <w:rPr>
          <w:rFonts w:hint="eastAsia" w:ascii="仿宋" w:hAnsi="仿宋" w:eastAsia="仿宋" w:cs="仿宋"/>
          <w:b w:val="0"/>
          <w:bCs w:val="0"/>
          <w:color w:val="auto"/>
          <w:sz w:val="24"/>
          <w:highlight w:val="none"/>
        </w:rPr>
        <w:t>合同金额的1%</w:t>
      </w:r>
      <w:r>
        <w:rPr>
          <w:rFonts w:hint="eastAsia" w:ascii="仿宋" w:hAnsi="仿宋" w:eastAsia="仿宋" w:cs="仿宋"/>
          <w:b w:val="0"/>
          <w:bCs w:val="0"/>
          <w:color w:val="auto"/>
          <w:sz w:val="24"/>
          <w:szCs w:val="24"/>
          <w:highlight w:val="none"/>
        </w:rPr>
        <w:t>的履约保证金，</w:t>
      </w:r>
      <w:r>
        <w:rPr>
          <w:rFonts w:hint="eastAsia" w:ascii="仿宋" w:hAnsi="仿宋" w:eastAsia="仿宋" w:cs="仿宋"/>
          <w:b w:val="0"/>
          <w:bCs w:val="0"/>
          <w:color w:val="auto"/>
          <w:sz w:val="24"/>
          <w:highlight w:val="none"/>
        </w:rPr>
        <w:t>履约保证金待合同履行结束后 5个工作日内视履约情况返还（缴纳形式为支票、汇票、本</w:t>
      </w:r>
      <w:r>
        <w:rPr>
          <w:rFonts w:hint="eastAsia" w:ascii="仿宋" w:hAnsi="仿宋" w:eastAsia="仿宋" w:cs="仿宋"/>
          <w:color w:val="auto"/>
          <w:sz w:val="24"/>
          <w:highlight w:val="none"/>
        </w:rPr>
        <w:t>票、保险或者金融机构、担保机构出具的保函等非现金形式）。</w:t>
      </w:r>
    </w:p>
    <w:p w14:paraId="57161EA5">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.2 供应商应按招标文件规定的服务标准向采购人提供服务。</w:t>
      </w:r>
    </w:p>
    <w:p w14:paraId="78FCEB46">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.3 如采购人检查发现供应商提供的服务服务不符合标准要求，供应商应立即进行整改，直到符合要求为止。采购人可根据考核标准中扣除供应商因检查不合格而应该扣罚的款项（扣罚款项在签订合同时明确）。</w:t>
      </w:r>
    </w:p>
    <w:p w14:paraId="2F5F5ABD">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.4 供应商提供的服务人员不符合本合同约定的数额，供应商应当自接到采购人通知之日起2日内予以补足，采购人有权按照缺岗天数及缺岗人数扣除相应的履约保证金。</w:t>
      </w:r>
    </w:p>
    <w:p w14:paraId="5EB03B17">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.5 由于供应商服务人员原因在服务工作中给采购人的设施、材料造成损失，供应商应负责赔偿。</w:t>
      </w:r>
    </w:p>
    <w:p w14:paraId="636D6468">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.6 在使用过程中发生问题，供应商在接到采购人通知后在1小时内到达采购人现场。</w:t>
      </w:r>
    </w:p>
    <w:p w14:paraId="3E930B01">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.7 在服务质量保证期内，供应商应对出现的服务质量及安全问题负责处理解决并承担一切费用。</w:t>
      </w:r>
    </w:p>
    <w:p w14:paraId="5E6CE252">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.8 在本合同履行完毕后，采购人扣除供应商在履约过程中产生的本合同涉及的相关赔偿金额后，在15日内将剩余履约保证金退还至供应商。</w:t>
      </w:r>
    </w:p>
    <w:p w14:paraId="7A063BF3">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val="en-US" w:eastAsia="zh-CN"/>
        </w:rPr>
        <w:t>3</w:t>
      </w:r>
      <w:r>
        <w:rPr>
          <w:rFonts w:hint="eastAsia" w:ascii="仿宋" w:hAnsi="仿宋" w:eastAsia="仿宋" w:cs="仿宋"/>
          <w:b/>
          <w:bCs/>
          <w:color w:val="auto"/>
          <w:sz w:val="24"/>
          <w:highlight w:val="none"/>
        </w:rPr>
        <w:t>.违约责任</w:t>
      </w:r>
    </w:p>
    <w:p w14:paraId="00871830">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.1 采购人无正当理由拒收接受服务的，采购人向供应商偿付合同款项百分之五作为违约金。</w:t>
      </w:r>
    </w:p>
    <w:p w14:paraId="611E1ED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.2 采购人无故逾期验收和办理款项支付手续的,采购人应按逾期付款总额每日万分之五向供应商支付违约金。</w:t>
      </w:r>
    </w:p>
    <w:p w14:paraId="6F704171">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.3 供应商不按约定提供服务的，每日向采购人支付千分之六违约金。逾期提供服务超过约定日期10个工作日的，采购人可解除本合同。供应商因逾期提供服务或因其他违约行为导致采购人解除合同的，供应商应向采购人支付合同总值5%的违约金，如造成采购人损失超过违约金的，超出部分由供应商继续承担赔偿责任。</w:t>
      </w:r>
    </w:p>
    <w:p w14:paraId="17578FBF">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.4</w:t>
      </w:r>
      <w:r>
        <w:rPr>
          <w:rFonts w:hint="eastAsia" w:ascii="仿宋" w:hAnsi="仿宋" w:eastAsia="仿宋" w:cs="仿宋"/>
          <w:color w:val="auto"/>
          <w:sz w:val="24"/>
          <w:szCs w:val="24"/>
          <w:highlight w:val="none"/>
        </w:rPr>
        <w:t>如供应商提供的服务或与服务相关的物品存在知识产权纠纷而导致本合同无法继续履行，在采购人发函要求解决相关知识产权问题后30日内仍未解决的，则采购人有权单方终止本合同的履行，并要求供应商承担相应赔偿责任。</w:t>
      </w:r>
    </w:p>
    <w:p w14:paraId="0E39E2C7">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val="en-US" w:eastAsia="zh-CN"/>
        </w:rPr>
        <w:t>4</w:t>
      </w:r>
      <w:r>
        <w:rPr>
          <w:rFonts w:hint="eastAsia" w:ascii="仿宋" w:hAnsi="仿宋" w:eastAsia="仿宋" w:cs="仿宋"/>
          <w:b/>
          <w:bCs/>
          <w:color w:val="auto"/>
          <w:sz w:val="24"/>
          <w:highlight w:val="none"/>
        </w:rPr>
        <w:t>.不可抗力事件处理</w:t>
      </w:r>
    </w:p>
    <w:p w14:paraId="17BAE778">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w:t>
      </w:r>
      <w:r>
        <w:rPr>
          <w:rFonts w:hint="eastAsia" w:ascii="仿宋" w:hAnsi="仿宋" w:eastAsia="仿宋" w:cs="仿宋"/>
          <w:bCs/>
          <w:color w:val="auto"/>
          <w:sz w:val="24"/>
          <w:highlight w:val="none"/>
          <w:lang w:val="en-US" w:eastAsia="zh-CN"/>
        </w:rPr>
        <w:t>4</w:t>
      </w:r>
      <w:r>
        <w:rPr>
          <w:rFonts w:hint="eastAsia" w:ascii="仿宋" w:hAnsi="仿宋" w:eastAsia="仿宋" w:cs="仿宋"/>
          <w:bCs/>
          <w:color w:val="auto"/>
          <w:sz w:val="24"/>
          <w:highlight w:val="none"/>
        </w:rPr>
        <w:t>.1 在合同有效期内，任何一方因不可抗力事件导致不能履行合同，则合同履行期可延长，其延长期与不可抗力影响期相同。</w:t>
      </w:r>
    </w:p>
    <w:p w14:paraId="748064EF">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w:t>
      </w:r>
      <w:r>
        <w:rPr>
          <w:rFonts w:hint="eastAsia" w:ascii="仿宋" w:hAnsi="仿宋" w:eastAsia="仿宋" w:cs="仿宋"/>
          <w:bCs/>
          <w:color w:val="auto"/>
          <w:sz w:val="24"/>
          <w:highlight w:val="none"/>
          <w:lang w:val="en-US" w:eastAsia="zh-CN"/>
        </w:rPr>
        <w:t>4</w:t>
      </w:r>
      <w:r>
        <w:rPr>
          <w:rFonts w:hint="eastAsia" w:ascii="仿宋" w:hAnsi="仿宋" w:eastAsia="仿宋" w:cs="仿宋"/>
          <w:bCs/>
          <w:color w:val="auto"/>
          <w:sz w:val="24"/>
          <w:highlight w:val="none"/>
        </w:rPr>
        <w:t>.2 不可抗力事件发生后，应立即通知对方，并寄送有关权威机构出具的证明。</w:t>
      </w:r>
    </w:p>
    <w:p w14:paraId="308A55B4">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w:t>
      </w:r>
      <w:r>
        <w:rPr>
          <w:rFonts w:hint="eastAsia" w:ascii="仿宋" w:hAnsi="仿宋" w:eastAsia="仿宋" w:cs="仿宋"/>
          <w:bCs/>
          <w:color w:val="auto"/>
          <w:sz w:val="24"/>
          <w:highlight w:val="none"/>
          <w:lang w:val="en-US" w:eastAsia="zh-CN"/>
        </w:rPr>
        <w:t>4</w:t>
      </w:r>
      <w:r>
        <w:rPr>
          <w:rFonts w:hint="eastAsia" w:ascii="仿宋" w:hAnsi="仿宋" w:eastAsia="仿宋" w:cs="仿宋"/>
          <w:bCs/>
          <w:color w:val="auto"/>
          <w:sz w:val="24"/>
          <w:highlight w:val="none"/>
        </w:rPr>
        <w:t>.3 不可抗力事件延续120天以上，双方应通过友好协商，确定是否继续履行合同。</w:t>
      </w:r>
    </w:p>
    <w:p w14:paraId="1050F138">
      <w:pPr>
        <w:spacing w:line="360" w:lineRule="auto"/>
        <w:rPr>
          <w:rFonts w:hint="eastAsia" w:ascii="仿宋" w:hAnsi="仿宋" w:eastAsia="仿宋" w:cs="仿宋"/>
          <w:bCs/>
          <w:color w:val="auto"/>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val="en-US" w:eastAsia="zh-CN"/>
        </w:rPr>
        <w:t>5</w:t>
      </w:r>
      <w:r>
        <w:rPr>
          <w:rFonts w:hint="eastAsia" w:ascii="仿宋" w:hAnsi="仿宋" w:eastAsia="仿宋" w:cs="仿宋"/>
          <w:b/>
          <w:bCs/>
          <w:color w:val="auto"/>
          <w:sz w:val="24"/>
          <w:highlight w:val="none"/>
        </w:rPr>
        <w:t>.</w:t>
      </w:r>
      <w:r>
        <w:rPr>
          <w:rFonts w:hint="eastAsia" w:ascii="仿宋" w:hAnsi="仿宋" w:eastAsia="仿宋" w:cs="仿宋"/>
          <w:bCs/>
          <w:color w:val="auto"/>
          <w:sz w:val="24"/>
          <w:highlight w:val="none"/>
        </w:rPr>
        <w:t xml:space="preserve"> </w:t>
      </w:r>
      <w:r>
        <w:rPr>
          <w:rFonts w:hint="eastAsia" w:ascii="仿宋" w:hAnsi="仿宋" w:eastAsia="仿宋" w:cs="仿宋"/>
          <w:b/>
          <w:bCs/>
          <w:color w:val="auto"/>
          <w:sz w:val="24"/>
          <w:highlight w:val="none"/>
        </w:rPr>
        <w:t>争议解决</w:t>
      </w:r>
    </w:p>
    <w:p w14:paraId="48DE751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.1在执行本合同中所发生的或与本合同有关的一切争端，合同双方应通过友好协商解决，经过协商仍不能解决，双方选择通过下列第x种方式解决：</w:t>
      </w:r>
    </w:p>
    <w:p w14:paraId="4BB867E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（1）将争端提交湖州仲裁委员会仲裁</w:t>
      </w:r>
    </w:p>
    <w:p w14:paraId="04D691D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（2）直接向采购人所在地有管辖权的人民法院起诉。</w:t>
      </w:r>
    </w:p>
    <w:p w14:paraId="22A639C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.2仲裁费用或诉讼费用应由败诉方负担。</w:t>
      </w:r>
    </w:p>
    <w:p w14:paraId="242B8914">
      <w:pPr>
        <w:tabs>
          <w:tab w:val="center" w:pos="4536"/>
        </w:tabs>
        <w:spacing w:line="360" w:lineRule="auto"/>
        <w:ind w:firstLine="480" w:firstLineChars="200"/>
        <w:rPr>
          <w:rFonts w:hint="eastAsia" w:ascii="仿宋" w:hAnsi="仿宋" w:eastAsia="仿宋" w:cs="仿宋"/>
          <w:b/>
          <w:bCs/>
          <w:color w:val="auto"/>
          <w:sz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.3在仲裁或诉讼期间，除进行仲裁或诉讼的部分外，本合同其它部分应继续执行。</w:t>
      </w: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val="en-US" w:eastAsia="zh-CN"/>
        </w:rPr>
        <w:t>6</w:t>
      </w:r>
      <w:r>
        <w:rPr>
          <w:rFonts w:hint="eastAsia" w:ascii="仿宋" w:hAnsi="仿宋" w:eastAsia="仿宋" w:cs="仿宋"/>
          <w:b/>
          <w:bCs/>
          <w:color w:val="auto"/>
          <w:sz w:val="24"/>
          <w:highlight w:val="none"/>
        </w:rPr>
        <w:t>.转让或分包</w:t>
      </w:r>
      <w:r>
        <w:rPr>
          <w:rFonts w:hint="eastAsia" w:ascii="仿宋" w:hAnsi="仿宋" w:eastAsia="仿宋" w:cs="仿宋"/>
          <w:b/>
          <w:bCs/>
          <w:color w:val="auto"/>
          <w:sz w:val="24"/>
          <w:highlight w:val="none"/>
          <w:lang w:eastAsia="zh-CN"/>
        </w:rPr>
        <w:tab/>
      </w:r>
    </w:p>
    <w:p w14:paraId="1BC844D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.1本合同范围的服务，应由供应商提供，不得转让他人供应；</w:t>
      </w:r>
    </w:p>
    <w:p w14:paraId="1E0FEE5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.2本项目允许分包。</w:t>
      </w:r>
    </w:p>
    <w:p w14:paraId="13816B0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.3本合同全部或部分的分包不能减轻供应商承担的责任，供应商仍须将分包人的任何行动、错误或疏忽当作是自己完成的并负全责；</w:t>
      </w:r>
    </w:p>
    <w:p w14:paraId="68B4A31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.4在任何分包合同中，须注明分包人按分包合同的范围履行，在供应商按本合同的履行终止时（不论任何原因），亦同时一并终止；</w:t>
      </w:r>
    </w:p>
    <w:p w14:paraId="532252A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.5如有转让和未经采购人同意的分包行为，采购人有权给予终止合同。</w:t>
      </w:r>
    </w:p>
    <w:p w14:paraId="390DCBF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.适用法律</w:t>
      </w:r>
    </w:p>
    <w:p w14:paraId="1E84296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合同适用法律有《中华人民共和国政府采购法》、《中华人民共和国民法典》和浙江省有关条例等。</w:t>
      </w:r>
    </w:p>
    <w:p w14:paraId="76652A1A">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val="en-US" w:eastAsia="zh-CN"/>
        </w:rPr>
        <w:t>7</w:t>
      </w:r>
      <w:r>
        <w:rPr>
          <w:rFonts w:hint="eastAsia" w:ascii="仿宋" w:hAnsi="仿宋" w:eastAsia="仿宋" w:cs="仿宋"/>
          <w:b/>
          <w:bCs/>
          <w:color w:val="auto"/>
          <w:sz w:val="24"/>
          <w:highlight w:val="none"/>
        </w:rPr>
        <w:t>.适用法律</w:t>
      </w:r>
    </w:p>
    <w:p w14:paraId="27574CA0">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color w:val="auto"/>
          <w:sz w:val="24"/>
          <w:highlight w:val="none"/>
        </w:rPr>
        <w:t>合同适用法律有《中华人民共和国政府采购法》、《</w:t>
      </w:r>
      <w:r>
        <w:rPr>
          <w:rFonts w:hint="eastAsia" w:ascii="仿宋" w:hAnsi="仿宋" w:eastAsia="仿宋" w:cs="仿宋"/>
          <w:color w:val="auto"/>
          <w:sz w:val="24"/>
          <w:szCs w:val="24"/>
          <w:highlight w:val="none"/>
        </w:rPr>
        <w:t>中华人民共和国民法典</w:t>
      </w:r>
      <w:r>
        <w:rPr>
          <w:rFonts w:hint="eastAsia" w:ascii="仿宋" w:hAnsi="仿宋" w:eastAsia="仿宋" w:cs="仿宋"/>
          <w:color w:val="auto"/>
          <w:sz w:val="24"/>
          <w:highlight w:val="none"/>
        </w:rPr>
        <w:t>》、《中华人民共和国产品质量法》和浙江省有关条例等。</w:t>
      </w:r>
    </w:p>
    <w:p w14:paraId="66FDFBCE">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val="en-US" w:eastAsia="zh-CN"/>
        </w:rPr>
        <w:t>8</w:t>
      </w:r>
      <w:r>
        <w:rPr>
          <w:rFonts w:hint="eastAsia" w:ascii="仿宋" w:hAnsi="仿宋" w:eastAsia="仿宋" w:cs="仿宋"/>
          <w:b/>
          <w:bCs/>
          <w:color w:val="auto"/>
          <w:sz w:val="24"/>
          <w:highlight w:val="none"/>
        </w:rPr>
        <w:t>.合同生效及其他</w:t>
      </w:r>
    </w:p>
    <w:p w14:paraId="200DBB2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.1本合同经双方法人及法定代表人签字盖章生效；</w:t>
      </w:r>
    </w:p>
    <w:p w14:paraId="26C8036E">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.2本合同一式八份，供应商、采购人各执四份。</w:t>
      </w:r>
    </w:p>
    <w:p w14:paraId="070EF3A0">
      <w:pPr>
        <w:rPr>
          <w:rFonts w:hint="eastAsia" w:ascii="仿宋" w:hAnsi="仿宋" w:eastAsia="仿宋" w:cs="仿宋"/>
          <w:color w:val="auto"/>
          <w:highlight w:val="none"/>
        </w:rPr>
        <w:sectPr>
          <w:footerReference r:id="rId6" w:type="default"/>
          <w:pgSz w:w="11906" w:h="16839"/>
          <w:pgMar w:top="1417" w:right="1417" w:bottom="1417" w:left="1417" w:header="737" w:footer="1077" w:gutter="0"/>
          <w:pgNumType w:fmt="decimal" w:start="1"/>
          <w:cols w:equalWidth="0" w:num="1">
            <w:col w:w="9298"/>
          </w:cols>
        </w:sectPr>
      </w:pPr>
    </w:p>
    <w:p w14:paraId="1AD4FC68">
      <w:pPr>
        <w:spacing w:line="360" w:lineRule="auto"/>
        <w:rPr>
          <w:rFonts w:hint="eastAsia" w:ascii="仿宋" w:hAnsi="仿宋" w:eastAsia="仿宋" w:cs="仿宋"/>
          <w:bCs/>
          <w:color w:val="auto"/>
          <w:sz w:val="24"/>
          <w:highlight w:val="none"/>
        </w:rPr>
      </w:pPr>
    </w:p>
    <w:p w14:paraId="01EA974A">
      <w:pPr>
        <w:spacing w:line="360" w:lineRule="auto"/>
        <w:rPr>
          <w:rFonts w:hint="eastAsia" w:ascii="仿宋" w:hAnsi="仿宋" w:eastAsia="仿宋" w:cs="仿宋"/>
          <w:bCs/>
          <w:color w:val="auto"/>
          <w:sz w:val="24"/>
          <w:highlight w:val="none"/>
        </w:rPr>
      </w:pPr>
    </w:p>
    <w:p w14:paraId="61C646E5">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甲方：</w:t>
      </w:r>
    </w:p>
    <w:p w14:paraId="410AB5C8">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地址：</w:t>
      </w:r>
    </w:p>
    <w:p w14:paraId="33F59755">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法定代表人(或授权代表)：</w:t>
      </w:r>
    </w:p>
    <w:p w14:paraId="23D1317C">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电话：</w:t>
      </w:r>
    </w:p>
    <w:p w14:paraId="5CEEA9EF">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传真：</w:t>
      </w:r>
    </w:p>
    <w:p w14:paraId="619276D7">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开户银行：</w:t>
      </w:r>
    </w:p>
    <w:p w14:paraId="7DEE3EFB">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账号：</w:t>
      </w:r>
    </w:p>
    <w:p w14:paraId="206A3ABA">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邮编：</w:t>
      </w:r>
    </w:p>
    <w:p w14:paraId="2D309204">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签订时间：</w:t>
      </w:r>
    </w:p>
    <w:p w14:paraId="2962A3FC">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br w:type="column"/>
      </w:r>
    </w:p>
    <w:p w14:paraId="28DB195C">
      <w:pPr>
        <w:spacing w:line="360" w:lineRule="auto"/>
        <w:ind w:firstLine="480" w:firstLineChars="200"/>
        <w:rPr>
          <w:rFonts w:hint="eastAsia" w:ascii="仿宋" w:hAnsi="仿宋" w:eastAsia="仿宋" w:cs="仿宋"/>
          <w:bCs/>
          <w:color w:val="auto"/>
          <w:sz w:val="24"/>
          <w:highlight w:val="none"/>
        </w:rPr>
      </w:pPr>
    </w:p>
    <w:p w14:paraId="3CE20D00">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乙方：</w:t>
      </w:r>
    </w:p>
    <w:p w14:paraId="24A5BA5D">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地址：</w:t>
      </w:r>
    </w:p>
    <w:p w14:paraId="53860BA1">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法定代表人(或授权代表)：</w:t>
      </w:r>
    </w:p>
    <w:p w14:paraId="0F730C02">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电话：</w:t>
      </w:r>
    </w:p>
    <w:p w14:paraId="7F5740A9">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传真：</w:t>
      </w:r>
    </w:p>
    <w:p w14:paraId="5950C8E2">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开户银行：</w:t>
      </w:r>
    </w:p>
    <w:p w14:paraId="47717AC2">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账号：</w:t>
      </w:r>
    </w:p>
    <w:p w14:paraId="475757B2">
      <w:pPr>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邮编</w:t>
      </w:r>
    </w:p>
    <w:p w14:paraId="7B7A2D8A">
      <w:pPr>
        <w:spacing w:line="360" w:lineRule="auto"/>
        <w:ind w:firstLine="480" w:firstLineChars="200"/>
        <w:rPr>
          <w:rFonts w:hint="eastAsia" w:ascii="仿宋" w:hAnsi="仿宋" w:eastAsia="仿宋" w:cs="仿宋"/>
          <w:bCs/>
          <w:color w:val="auto"/>
          <w:sz w:val="24"/>
          <w:highlight w:val="none"/>
          <w:lang w:eastAsia="zh-CN"/>
        </w:rPr>
        <w:sectPr>
          <w:type w:val="continuous"/>
          <w:pgSz w:w="11906" w:h="16839"/>
          <w:pgMar w:top="1157" w:right="1220" w:bottom="400" w:left="1388" w:header="882" w:footer="0" w:gutter="0"/>
          <w:pgNumType w:fmt="decimal"/>
          <w:cols w:equalWidth="0" w:num="2">
            <w:col w:w="4857" w:space="100"/>
            <w:col w:w="4342"/>
          </w:cols>
        </w:sectPr>
      </w:pPr>
      <w:r>
        <w:rPr>
          <w:rFonts w:hint="eastAsia" w:ascii="仿宋" w:hAnsi="仿宋" w:eastAsia="仿宋" w:cs="仿宋"/>
          <w:bCs/>
          <w:color w:val="auto"/>
          <w:sz w:val="24"/>
          <w:highlight w:val="none"/>
        </w:rPr>
        <w:t>签订</w:t>
      </w:r>
      <w:r>
        <w:rPr>
          <w:rFonts w:hint="eastAsia" w:ascii="仿宋" w:hAnsi="仿宋" w:eastAsia="仿宋" w:cs="仿宋"/>
          <w:bCs/>
          <w:color w:val="auto"/>
          <w:sz w:val="24"/>
          <w:highlight w:val="none"/>
          <w:lang w:eastAsia="zh-CN"/>
        </w:rPr>
        <w:t>时间</w:t>
      </w:r>
    </w:p>
    <w:p w14:paraId="23101F73">
      <w:pPr>
        <w:pStyle w:val="3"/>
        <w:keepNext w:val="0"/>
        <w:pageBreakBefore/>
        <w:spacing w:line="360" w:lineRule="auto"/>
        <w:jc w:val="center"/>
        <w:rPr>
          <w:rFonts w:hint="eastAsia" w:ascii="仿宋" w:hAnsi="仿宋" w:eastAsia="仿宋" w:cs="仿宋"/>
          <w:color w:val="auto"/>
          <w:sz w:val="32"/>
          <w:highlight w:val="none"/>
          <w:lang w:val="en-US" w:eastAsia="zh-CN"/>
        </w:rPr>
      </w:pPr>
      <w:r>
        <w:rPr>
          <w:rFonts w:hint="eastAsia" w:ascii="仿宋" w:hAnsi="仿宋" w:eastAsia="仿宋" w:cs="仿宋"/>
          <w:color w:val="auto"/>
          <w:sz w:val="32"/>
          <w:highlight w:val="none"/>
          <w:lang w:val="en-US" w:eastAsia="zh-CN"/>
        </w:rPr>
        <w:t>第六章 投标格式</w:t>
      </w:r>
    </w:p>
    <w:p w14:paraId="616813FC">
      <w:pPr>
        <w:pStyle w:val="11"/>
        <w:rPr>
          <w:rFonts w:hint="eastAsia" w:ascii="仿宋" w:hAnsi="仿宋" w:eastAsia="仿宋" w:cs="仿宋"/>
          <w:color w:val="auto"/>
          <w:sz w:val="28"/>
          <w:szCs w:val="28"/>
          <w:highlight w:val="none"/>
        </w:rPr>
      </w:pPr>
    </w:p>
    <w:p w14:paraId="12810EC2">
      <w:pPr>
        <w:snapToGrid w:val="0"/>
        <w:spacing w:before="50" w:after="50" w:line="360" w:lineRule="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1、资格文件目录（具体参考第三章投标人须知“投标文件的组成”）</w:t>
      </w:r>
    </w:p>
    <w:p w14:paraId="267F5D6D">
      <w:pPr>
        <w:snapToGrid w:val="0"/>
        <w:spacing w:before="50" w:after="50" w:line="360" w:lineRule="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w:t>
      </w:r>
    </w:p>
    <w:p w14:paraId="56CD2F7C">
      <w:pPr>
        <w:snapToGrid w:val="0"/>
        <w:spacing w:before="50" w:after="50" w:line="360" w:lineRule="auto"/>
        <w:rPr>
          <w:rFonts w:hint="eastAsia" w:ascii="仿宋" w:hAnsi="仿宋" w:eastAsia="仿宋" w:cs="仿宋"/>
          <w:color w:val="auto"/>
          <w:sz w:val="24"/>
          <w:szCs w:val="28"/>
          <w:highlight w:val="none"/>
        </w:rPr>
      </w:pPr>
    </w:p>
    <w:p w14:paraId="031231CC">
      <w:pPr>
        <w:snapToGrid w:val="0"/>
        <w:spacing w:before="50" w:after="50" w:line="360" w:lineRule="auto"/>
        <w:rPr>
          <w:rFonts w:hint="eastAsia" w:ascii="仿宋" w:hAnsi="仿宋" w:eastAsia="仿宋" w:cs="仿宋"/>
          <w:color w:val="auto"/>
          <w:szCs w:val="28"/>
          <w:highlight w:val="none"/>
        </w:rPr>
      </w:pPr>
    </w:p>
    <w:p w14:paraId="6755890C">
      <w:pPr>
        <w:snapToGrid w:val="0"/>
        <w:spacing w:before="50" w:after="50" w:line="360" w:lineRule="auto"/>
        <w:rPr>
          <w:rFonts w:hint="eastAsia" w:ascii="仿宋" w:hAnsi="仿宋" w:eastAsia="仿宋" w:cs="仿宋"/>
          <w:color w:val="auto"/>
          <w:sz w:val="24"/>
          <w:szCs w:val="28"/>
          <w:highlight w:val="none"/>
        </w:rPr>
      </w:pPr>
      <w:r>
        <w:rPr>
          <w:rFonts w:hint="eastAsia" w:ascii="仿宋" w:hAnsi="仿宋" w:eastAsia="仿宋" w:cs="仿宋"/>
          <w:color w:val="auto"/>
          <w:szCs w:val="28"/>
          <w:highlight w:val="none"/>
        </w:rPr>
        <w:t>2、</w:t>
      </w:r>
      <w:r>
        <w:rPr>
          <w:rFonts w:hint="eastAsia" w:ascii="仿宋" w:hAnsi="仿宋" w:eastAsia="仿宋" w:cs="仿宋"/>
          <w:color w:val="auto"/>
          <w:sz w:val="24"/>
          <w:szCs w:val="28"/>
          <w:highlight w:val="none"/>
        </w:rPr>
        <w:t>技术、商务、资信及其他文件目录（具体参考第三章投标人须知“投标文件的组成”）</w:t>
      </w:r>
    </w:p>
    <w:p w14:paraId="37168DF2">
      <w:pPr>
        <w:snapToGrid w:val="0"/>
        <w:spacing w:before="50" w:after="50" w:line="360" w:lineRule="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w:t>
      </w:r>
    </w:p>
    <w:p w14:paraId="61A9F655">
      <w:pPr>
        <w:snapToGrid w:val="0"/>
        <w:spacing w:before="50" w:after="50" w:line="360" w:lineRule="auto"/>
        <w:rPr>
          <w:rFonts w:hint="eastAsia" w:ascii="仿宋" w:hAnsi="仿宋" w:eastAsia="仿宋" w:cs="仿宋"/>
          <w:color w:val="auto"/>
          <w:szCs w:val="28"/>
          <w:highlight w:val="none"/>
        </w:rPr>
      </w:pPr>
    </w:p>
    <w:p w14:paraId="4CE87FE1">
      <w:pPr>
        <w:snapToGrid w:val="0"/>
        <w:spacing w:before="50" w:after="50" w:line="360" w:lineRule="auto"/>
        <w:rPr>
          <w:rFonts w:hint="eastAsia" w:ascii="仿宋" w:hAnsi="仿宋" w:eastAsia="仿宋" w:cs="仿宋"/>
          <w:color w:val="auto"/>
          <w:szCs w:val="28"/>
          <w:highlight w:val="none"/>
        </w:rPr>
      </w:pPr>
    </w:p>
    <w:p w14:paraId="4DC9ACF5">
      <w:pPr>
        <w:snapToGrid w:val="0"/>
        <w:spacing w:before="50" w:after="50" w:line="360" w:lineRule="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3、报价文件目录（具体参考第三章投标人须知“投标文件的组成”）</w:t>
      </w:r>
    </w:p>
    <w:p w14:paraId="44DABFD6">
      <w:pPr>
        <w:snapToGrid w:val="0"/>
        <w:spacing w:before="50" w:after="50" w:line="360" w:lineRule="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w:t>
      </w:r>
    </w:p>
    <w:p w14:paraId="5C5A3411">
      <w:pPr>
        <w:snapToGrid w:val="0"/>
        <w:spacing w:before="50" w:afterLines="50" w:line="360" w:lineRule="auto"/>
        <w:jc w:val="left"/>
        <w:rPr>
          <w:rFonts w:hint="eastAsia" w:ascii="仿宋" w:hAnsi="仿宋" w:eastAsia="仿宋" w:cs="仿宋"/>
          <w:color w:val="auto"/>
          <w:szCs w:val="28"/>
          <w:highlight w:val="none"/>
        </w:rPr>
      </w:pPr>
    </w:p>
    <w:p w14:paraId="7797E5AD">
      <w:pPr>
        <w:snapToGrid w:val="0"/>
        <w:spacing w:before="50" w:afterLines="50" w:line="360" w:lineRule="auto"/>
        <w:jc w:val="left"/>
        <w:rPr>
          <w:rFonts w:hint="eastAsia" w:ascii="仿宋" w:hAnsi="仿宋" w:eastAsia="仿宋" w:cs="仿宋"/>
          <w:color w:val="auto"/>
          <w:szCs w:val="28"/>
          <w:highlight w:val="none"/>
        </w:rPr>
      </w:pPr>
    </w:p>
    <w:p w14:paraId="73E7E2E8">
      <w:pPr>
        <w:snapToGrid w:val="0"/>
        <w:spacing w:before="50" w:afterLines="50"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（本章仅提供部分标准通用表格，具体格式内容请参照本投标文件中对投标文件编制要求）</w:t>
      </w:r>
    </w:p>
    <w:p w14:paraId="4AADC013">
      <w:pPr>
        <w:pStyle w:val="13"/>
        <w:ind w:left="0"/>
        <w:rPr>
          <w:rFonts w:hint="eastAsia" w:ascii="仿宋" w:hAnsi="仿宋" w:eastAsia="仿宋" w:cs="仿宋"/>
          <w:color w:val="auto"/>
          <w:highlight w:val="none"/>
        </w:rPr>
      </w:pPr>
    </w:p>
    <w:p w14:paraId="76B050BC">
      <w:pPr>
        <w:pStyle w:val="13"/>
        <w:ind w:left="0"/>
        <w:rPr>
          <w:rFonts w:hint="eastAsia" w:ascii="仿宋" w:hAnsi="仿宋" w:eastAsia="仿宋" w:cs="仿宋"/>
          <w:color w:val="auto"/>
          <w:highlight w:val="none"/>
        </w:rPr>
      </w:pPr>
    </w:p>
    <w:p w14:paraId="5DBC8F8E">
      <w:pPr>
        <w:pStyle w:val="13"/>
        <w:ind w:left="0"/>
        <w:rPr>
          <w:rFonts w:hint="eastAsia" w:ascii="仿宋" w:hAnsi="仿宋" w:eastAsia="仿宋" w:cs="仿宋"/>
          <w:color w:val="auto"/>
          <w:highlight w:val="none"/>
        </w:rPr>
      </w:pPr>
    </w:p>
    <w:p w14:paraId="09A6E54F">
      <w:pPr>
        <w:pStyle w:val="13"/>
        <w:ind w:left="0"/>
        <w:rPr>
          <w:rFonts w:hint="eastAsia" w:ascii="仿宋" w:hAnsi="仿宋" w:eastAsia="仿宋" w:cs="仿宋"/>
          <w:color w:val="auto"/>
          <w:highlight w:val="none"/>
        </w:rPr>
      </w:pPr>
    </w:p>
    <w:p w14:paraId="7CADAD48">
      <w:pPr>
        <w:pStyle w:val="13"/>
        <w:ind w:left="0"/>
        <w:rPr>
          <w:rFonts w:hint="eastAsia" w:ascii="仿宋" w:hAnsi="仿宋" w:eastAsia="仿宋" w:cs="仿宋"/>
          <w:color w:val="auto"/>
          <w:highlight w:val="none"/>
        </w:rPr>
      </w:pPr>
    </w:p>
    <w:p w14:paraId="30513B56">
      <w:pPr>
        <w:pStyle w:val="13"/>
        <w:ind w:left="0"/>
        <w:rPr>
          <w:rFonts w:hint="eastAsia" w:ascii="仿宋" w:hAnsi="仿宋" w:eastAsia="仿宋" w:cs="仿宋"/>
          <w:color w:val="auto"/>
          <w:highlight w:val="none"/>
        </w:rPr>
      </w:pPr>
    </w:p>
    <w:p w14:paraId="786362DB">
      <w:pPr>
        <w:pStyle w:val="13"/>
        <w:ind w:left="0"/>
        <w:rPr>
          <w:rFonts w:hint="eastAsia" w:ascii="仿宋" w:hAnsi="仿宋" w:eastAsia="仿宋" w:cs="仿宋"/>
          <w:color w:val="auto"/>
          <w:highlight w:val="none"/>
        </w:rPr>
      </w:pPr>
    </w:p>
    <w:p w14:paraId="617D4544">
      <w:pPr>
        <w:pStyle w:val="13"/>
        <w:ind w:left="0"/>
        <w:rPr>
          <w:rFonts w:hint="eastAsia" w:ascii="仿宋" w:hAnsi="仿宋" w:eastAsia="仿宋" w:cs="仿宋"/>
          <w:color w:val="auto"/>
          <w:highlight w:val="none"/>
        </w:rPr>
      </w:pPr>
    </w:p>
    <w:p w14:paraId="6860A7E1">
      <w:pPr>
        <w:pStyle w:val="13"/>
        <w:ind w:left="0"/>
        <w:rPr>
          <w:rFonts w:hint="eastAsia" w:ascii="仿宋" w:hAnsi="仿宋" w:eastAsia="仿宋" w:cs="仿宋"/>
          <w:color w:val="auto"/>
          <w:highlight w:val="none"/>
        </w:rPr>
      </w:pPr>
    </w:p>
    <w:p w14:paraId="53FA6F98">
      <w:pPr>
        <w:pStyle w:val="13"/>
        <w:ind w:left="0"/>
        <w:rPr>
          <w:rFonts w:hint="eastAsia" w:ascii="仿宋" w:hAnsi="仿宋" w:eastAsia="仿宋" w:cs="仿宋"/>
          <w:color w:val="auto"/>
          <w:highlight w:val="none"/>
        </w:rPr>
      </w:pPr>
    </w:p>
    <w:p w14:paraId="680940A0">
      <w:pPr>
        <w:pStyle w:val="13"/>
        <w:ind w:left="0"/>
        <w:rPr>
          <w:rFonts w:hint="eastAsia" w:ascii="仿宋" w:hAnsi="仿宋" w:eastAsia="仿宋" w:cs="仿宋"/>
          <w:color w:val="auto"/>
          <w:highlight w:val="none"/>
        </w:rPr>
      </w:pPr>
    </w:p>
    <w:p w14:paraId="7E5CC177">
      <w:pPr>
        <w:pStyle w:val="13"/>
        <w:ind w:left="0"/>
        <w:rPr>
          <w:rFonts w:hint="eastAsia" w:ascii="仿宋" w:hAnsi="仿宋" w:eastAsia="仿宋" w:cs="仿宋"/>
          <w:color w:val="auto"/>
          <w:highlight w:val="none"/>
        </w:rPr>
      </w:pPr>
    </w:p>
    <w:p w14:paraId="1B77EDB0">
      <w:pPr>
        <w:pStyle w:val="13"/>
        <w:ind w:left="0"/>
        <w:rPr>
          <w:rFonts w:hint="eastAsia" w:ascii="仿宋" w:hAnsi="仿宋" w:eastAsia="仿宋" w:cs="仿宋"/>
          <w:color w:val="auto"/>
          <w:highlight w:val="none"/>
        </w:rPr>
      </w:pPr>
    </w:p>
    <w:p w14:paraId="04555077">
      <w:pPr>
        <w:pStyle w:val="13"/>
        <w:ind w:left="0"/>
        <w:rPr>
          <w:rFonts w:hint="eastAsia" w:ascii="仿宋" w:hAnsi="仿宋" w:eastAsia="仿宋" w:cs="仿宋"/>
          <w:color w:val="auto"/>
          <w:highlight w:val="none"/>
        </w:rPr>
      </w:pPr>
    </w:p>
    <w:p w14:paraId="4EFC7B32">
      <w:pPr>
        <w:pStyle w:val="13"/>
        <w:ind w:left="0"/>
        <w:rPr>
          <w:rFonts w:hint="eastAsia" w:ascii="仿宋" w:hAnsi="仿宋" w:eastAsia="仿宋" w:cs="仿宋"/>
          <w:color w:val="auto"/>
          <w:highlight w:val="none"/>
        </w:rPr>
      </w:pPr>
    </w:p>
    <w:p w14:paraId="39250100">
      <w:pPr>
        <w:snapToGrid w:val="0"/>
        <w:spacing w:beforeLines="50" w:after="50" w:line="400" w:lineRule="exact"/>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1.</w:t>
      </w:r>
      <w:r>
        <w:rPr>
          <w:rFonts w:hint="eastAsia" w:ascii="仿宋" w:hAnsi="仿宋" w:eastAsia="仿宋" w:cs="仿宋"/>
          <w:b/>
          <w:color w:val="auto"/>
          <w:sz w:val="28"/>
          <w:szCs w:val="28"/>
          <w:highlight w:val="none"/>
        </w:rPr>
        <w:t>法定代表人有效身份证明书</w:t>
      </w:r>
    </w:p>
    <w:p w14:paraId="568BD05E">
      <w:pPr>
        <w:pStyle w:val="13"/>
        <w:rPr>
          <w:rFonts w:hint="eastAsia" w:ascii="仿宋" w:hAnsi="仿宋" w:eastAsia="仿宋" w:cs="仿宋"/>
          <w:color w:val="auto"/>
          <w:highlight w:val="none"/>
        </w:rPr>
      </w:pPr>
    </w:p>
    <w:p w14:paraId="27054A82">
      <w:pPr>
        <w:spacing w:line="500" w:lineRule="exact"/>
        <w:ind w:firstLine="360" w:firstLineChars="15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rPr>
        <w:t>（姓名）</w:t>
      </w:r>
      <w:r>
        <w:rPr>
          <w:rFonts w:hint="eastAsia" w:ascii="仿宋" w:hAnsi="仿宋" w:eastAsia="仿宋" w:cs="仿宋"/>
          <w:color w:val="auto"/>
          <w:kern w:val="0"/>
          <w:sz w:val="24"/>
          <w:highlight w:val="none"/>
        </w:rPr>
        <w:t>是</w:t>
      </w:r>
      <w:r>
        <w:rPr>
          <w:rFonts w:hint="eastAsia" w:ascii="仿宋" w:hAnsi="仿宋" w:eastAsia="仿宋" w:cs="仿宋"/>
          <w:color w:val="auto"/>
          <w:kern w:val="0"/>
          <w:sz w:val="24"/>
          <w:highlight w:val="none"/>
          <w:u w:val="single"/>
        </w:rPr>
        <w:t>（投标人全称）</w:t>
      </w:r>
      <w:r>
        <w:rPr>
          <w:rFonts w:hint="eastAsia" w:ascii="仿宋" w:hAnsi="仿宋" w:eastAsia="仿宋" w:cs="仿宋"/>
          <w:color w:val="auto"/>
          <w:kern w:val="0"/>
          <w:sz w:val="24"/>
          <w:highlight w:val="none"/>
        </w:rPr>
        <w:t>的法定代表人，身份证号码为 ______________。</w:t>
      </w:r>
    </w:p>
    <w:p w14:paraId="5E384557">
      <w:pPr>
        <w:spacing w:line="5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385A6A47">
      <w:pPr>
        <w:spacing w:line="500" w:lineRule="exact"/>
        <w:jc w:val="left"/>
        <w:rPr>
          <w:rFonts w:hint="eastAsia" w:ascii="仿宋" w:hAnsi="仿宋" w:eastAsia="仿宋" w:cs="仿宋"/>
          <w:color w:val="auto"/>
          <w:kern w:val="0"/>
          <w:sz w:val="24"/>
          <w:highlight w:val="none"/>
        </w:rPr>
      </w:pPr>
    </w:p>
    <w:p w14:paraId="0ADD99D2">
      <w:pPr>
        <w:spacing w:line="500" w:lineRule="exact"/>
        <w:jc w:val="left"/>
        <w:rPr>
          <w:rFonts w:hint="eastAsia" w:ascii="仿宋" w:hAnsi="仿宋" w:eastAsia="仿宋" w:cs="仿宋"/>
          <w:color w:val="auto"/>
          <w:kern w:val="0"/>
          <w:sz w:val="24"/>
          <w:highlight w:val="none"/>
        </w:rPr>
      </w:pPr>
    </w:p>
    <w:p w14:paraId="45DEFAA2">
      <w:pPr>
        <w:spacing w:line="5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投标人：（盖章）</w:t>
      </w:r>
    </w:p>
    <w:p w14:paraId="5C69BAC0">
      <w:pPr>
        <w:spacing w:line="500" w:lineRule="exact"/>
        <w:jc w:val="left"/>
        <w:rPr>
          <w:rFonts w:hint="eastAsia" w:ascii="仿宋" w:hAnsi="仿宋" w:eastAsia="仿宋" w:cs="仿宋"/>
          <w:color w:val="auto"/>
          <w:kern w:val="0"/>
          <w:sz w:val="24"/>
          <w:highlight w:val="none"/>
        </w:rPr>
      </w:pPr>
    </w:p>
    <w:p w14:paraId="26F2FDC5">
      <w:pPr>
        <w:spacing w:line="5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法定代表人（签名或盖章）：</w:t>
      </w:r>
    </w:p>
    <w:p w14:paraId="15A4BF41">
      <w:pPr>
        <w:spacing w:line="500" w:lineRule="exact"/>
        <w:jc w:val="left"/>
        <w:rPr>
          <w:rFonts w:hint="eastAsia" w:ascii="仿宋" w:hAnsi="仿宋" w:eastAsia="仿宋" w:cs="仿宋"/>
          <w:color w:val="auto"/>
          <w:kern w:val="0"/>
          <w:sz w:val="24"/>
          <w:highlight w:val="none"/>
        </w:rPr>
      </w:pPr>
    </w:p>
    <w:p w14:paraId="74A748D5">
      <w:pPr>
        <w:spacing w:line="5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7D1C0EE5">
      <w:pPr>
        <w:spacing w:line="5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p>
    <w:p w14:paraId="71AD64A9">
      <w:pPr>
        <w:spacing w:line="500" w:lineRule="exact"/>
        <w:jc w:val="center"/>
        <w:rPr>
          <w:rFonts w:hint="eastAsia" w:ascii="仿宋" w:hAnsi="仿宋" w:eastAsia="仿宋" w:cs="仿宋"/>
          <w:color w:val="auto"/>
          <w:kern w:val="0"/>
          <w:sz w:val="24"/>
          <w:highlight w:val="none"/>
        </w:rPr>
      </w:pPr>
    </w:p>
    <w:p w14:paraId="301C61B6">
      <w:pPr>
        <w:spacing w:line="500" w:lineRule="exact"/>
        <w:jc w:val="center"/>
        <w:rPr>
          <w:rFonts w:hint="eastAsia" w:ascii="仿宋" w:hAnsi="仿宋" w:eastAsia="仿宋" w:cs="仿宋"/>
          <w:color w:val="auto"/>
          <w:kern w:val="0"/>
          <w:sz w:val="24"/>
          <w:highlight w:val="none"/>
        </w:rPr>
      </w:pPr>
    </w:p>
    <w:p w14:paraId="3E02ADDE">
      <w:pPr>
        <w:spacing w:line="500" w:lineRule="exact"/>
        <w:jc w:val="center"/>
        <w:rPr>
          <w:rFonts w:hint="eastAsia" w:ascii="仿宋" w:hAnsi="仿宋" w:eastAsia="仿宋" w:cs="仿宋"/>
          <w:color w:val="auto"/>
          <w:kern w:val="0"/>
          <w:sz w:val="24"/>
          <w:highlight w:val="none"/>
        </w:rPr>
      </w:pPr>
    </w:p>
    <w:p w14:paraId="55DD2D2B">
      <w:pPr>
        <w:spacing w:line="5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有效身份证明复印件粘贴处</w:t>
      </w:r>
    </w:p>
    <w:p w14:paraId="42B40629">
      <w:pPr>
        <w:spacing w:line="500" w:lineRule="exact"/>
        <w:jc w:val="center"/>
        <w:rPr>
          <w:rFonts w:hint="eastAsia" w:ascii="仿宋" w:hAnsi="仿宋" w:eastAsia="仿宋" w:cs="仿宋"/>
          <w:color w:val="auto"/>
          <w:kern w:val="0"/>
          <w:sz w:val="24"/>
          <w:highlight w:val="none"/>
        </w:rPr>
      </w:pPr>
    </w:p>
    <w:p w14:paraId="29BC5DDA">
      <w:pPr>
        <w:jc w:val="center"/>
        <w:rPr>
          <w:rFonts w:hint="eastAsia" w:ascii="仿宋" w:hAnsi="仿宋" w:eastAsia="仿宋" w:cs="仿宋"/>
          <w:color w:val="auto"/>
          <w:kern w:val="0"/>
          <w:sz w:val="24"/>
          <w:highlight w:val="none"/>
        </w:rPr>
      </w:pPr>
    </w:p>
    <w:p w14:paraId="63C18FA4">
      <w:pPr>
        <w:pStyle w:val="13"/>
        <w:rPr>
          <w:rFonts w:hint="eastAsia" w:ascii="仿宋" w:hAnsi="仿宋" w:eastAsia="仿宋" w:cs="仿宋"/>
          <w:color w:val="auto"/>
          <w:highlight w:val="none"/>
        </w:rPr>
      </w:pPr>
    </w:p>
    <w:p w14:paraId="3302BD6B">
      <w:pPr>
        <w:pStyle w:val="13"/>
        <w:rPr>
          <w:rFonts w:hint="eastAsia" w:ascii="仿宋" w:hAnsi="仿宋" w:eastAsia="仿宋" w:cs="仿宋"/>
          <w:color w:val="auto"/>
          <w:highlight w:val="none"/>
        </w:rPr>
      </w:pPr>
    </w:p>
    <w:p w14:paraId="4C3FEB7F">
      <w:pPr>
        <w:pStyle w:val="13"/>
        <w:rPr>
          <w:rFonts w:hint="eastAsia" w:ascii="仿宋" w:hAnsi="仿宋" w:eastAsia="仿宋" w:cs="仿宋"/>
          <w:color w:val="auto"/>
          <w:highlight w:val="none"/>
        </w:rPr>
      </w:pPr>
    </w:p>
    <w:p w14:paraId="346F0E7E">
      <w:pPr>
        <w:pStyle w:val="13"/>
        <w:rPr>
          <w:rFonts w:hint="eastAsia" w:ascii="仿宋" w:hAnsi="仿宋" w:eastAsia="仿宋" w:cs="仿宋"/>
          <w:color w:val="auto"/>
          <w:highlight w:val="none"/>
        </w:rPr>
      </w:pPr>
    </w:p>
    <w:p w14:paraId="2F50E273">
      <w:pPr>
        <w:pStyle w:val="13"/>
        <w:rPr>
          <w:rFonts w:hint="eastAsia" w:ascii="仿宋" w:hAnsi="仿宋" w:eastAsia="仿宋" w:cs="仿宋"/>
          <w:color w:val="auto"/>
          <w:highlight w:val="none"/>
        </w:rPr>
      </w:pPr>
    </w:p>
    <w:p w14:paraId="059B0C1F">
      <w:pPr>
        <w:pStyle w:val="13"/>
        <w:rPr>
          <w:rFonts w:hint="eastAsia" w:ascii="仿宋" w:hAnsi="仿宋" w:eastAsia="仿宋" w:cs="仿宋"/>
          <w:color w:val="auto"/>
          <w:highlight w:val="none"/>
        </w:rPr>
      </w:pPr>
    </w:p>
    <w:p w14:paraId="24A99C03">
      <w:pPr>
        <w:pStyle w:val="13"/>
        <w:rPr>
          <w:rFonts w:hint="eastAsia" w:ascii="仿宋" w:hAnsi="仿宋" w:eastAsia="仿宋" w:cs="仿宋"/>
          <w:color w:val="auto"/>
          <w:highlight w:val="none"/>
        </w:rPr>
      </w:pPr>
    </w:p>
    <w:p w14:paraId="51B2A9D2">
      <w:pPr>
        <w:pStyle w:val="13"/>
        <w:rPr>
          <w:rFonts w:hint="eastAsia" w:ascii="仿宋" w:hAnsi="仿宋" w:eastAsia="仿宋" w:cs="仿宋"/>
          <w:color w:val="auto"/>
          <w:highlight w:val="none"/>
        </w:rPr>
      </w:pPr>
    </w:p>
    <w:p w14:paraId="100F27F7">
      <w:pPr>
        <w:pStyle w:val="13"/>
        <w:rPr>
          <w:rFonts w:hint="eastAsia" w:ascii="仿宋" w:hAnsi="仿宋" w:eastAsia="仿宋" w:cs="仿宋"/>
          <w:color w:val="auto"/>
          <w:highlight w:val="none"/>
        </w:rPr>
      </w:pPr>
    </w:p>
    <w:p w14:paraId="7D26224F">
      <w:pPr>
        <w:pStyle w:val="13"/>
        <w:rPr>
          <w:rFonts w:hint="eastAsia" w:ascii="仿宋" w:hAnsi="仿宋" w:eastAsia="仿宋" w:cs="仿宋"/>
          <w:color w:val="auto"/>
          <w:highlight w:val="none"/>
        </w:rPr>
      </w:pPr>
    </w:p>
    <w:p w14:paraId="622F8723">
      <w:pPr>
        <w:pStyle w:val="13"/>
        <w:rPr>
          <w:rFonts w:hint="eastAsia" w:ascii="仿宋" w:hAnsi="仿宋" w:eastAsia="仿宋" w:cs="仿宋"/>
          <w:color w:val="auto"/>
          <w:highlight w:val="none"/>
        </w:rPr>
      </w:pPr>
    </w:p>
    <w:p w14:paraId="0CC4F9A3">
      <w:pPr>
        <w:pStyle w:val="13"/>
        <w:rPr>
          <w:rFonts w:hint="eastAsia" w:ascii="仿宋" w:hAnsi="仿宋" w:eastAsia="仿宋" w:cs="仿宋"/>
          <w:color w:val="auto"/>
          <w:highlight w:val="none"/>
        </w:rPr>
      </w:pPr>
    </w:p>
    <w:p w14:paraId="45D495E2">
      <w:pPr>
        <w:pStyle w:val="13"/>
        <w:rPr>
          <w:rFonts w:hint="eastAsia" w:ascii="仿宋" w:hAnsi="仿宋" w:eastAsia="仿宋" w:cs="仿宋"/>
          <w:color w:val="auto"/>
          <w:highlight w:val="none"/>
        </w:rPr>
      </w:pPr>
    </w:p>
    <w:p w14:paraId="1D22CB75">
      <w:pPr>
        <w:pStyle w:val="13"/>
        <w:rPr>
          <w:rFonts w:hint="eastAsia" w:ascii="仿宋" w:hAnsi="仿宋" w:eastAsia="仿宋" w:cs="仿宋"/>
          <w:color w:val="auto"/>
          <w:highlight w:val="none"/>
        </w:rPr>
      </w:pPr>
    </w:p>
    <w:p w14:paraId="22C30FEB">
      <w:pPr>
        <w:snapToGrid w:val="0"/>
        <w:spacing w:beforeLines="50" w:after="50" w:line="400" w:lineRule="exact"/>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2.</w:t>
      </w:r>
      <w:r>
        <w:rPr>
          <w:rFonts w:hint="eastAsia" w:ascii="仿宋" w:hAnsi="仿宋" w:eastAsia="仿宋" w:cs="仿宋"/>
          <w:b/>
          <w:color w:val="auto"/>
          <w:sz w:val="28"/>
          <w:szCs w:val="28"/>
          <w:highlight w:val="none"/>
        </w:rPr>
        <w:t>法定代表人授权委托书</w:t>
      </w:r>
    </w:p>
    <w:p w14:paraId="17806E54">
      <w:pPr>
        <w:snapToGrid w:val="0"/>
        <w:spacing w:beforeLines="50" w:after="50" w:line="400" w:lineRule="exact"/>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 （采购人名称）</w:t>
      </w:r>
      <w:r>
        <w:rPr>
          <w:rFonts w:hint="eastAsia" w:ascii="仿宋" w:hAnsi="仿宋" w:eastAsia="仿宋" w:cs="仿宋"/>
          <w:color w:val="auto"/>
          <w:sz w:val="24"/>
          <w:highlight w:val="none"/>
        </w:rPr>
        <w:t>：</w:t>
      </w:r>
    </w:p>
    <w:p w14:paraId="6E91C1E5">
      <w:pPr>
        <w:snapToGrid w:val="0"/>
        <w:spacing w:beforeLines="50" w:after="50" w:line="460" w:lineRule="exact"/>
        <w:ind w:firstLine="600"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我 </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（投标人名称）</w:t>
      </w:r>
      <w:r>
        <w:rPr>
          <w:rFonts w:hint="eastAsia" w:ascii="仿宋" w:hAnsi="仿宋" w:eastAsia="仿宋" w:cs="仿宋"/>
          <w:color w:val="auto"/>
          <w:sz w:val="24"/>
          <w:highlight w:val="none"/>
        </w:rPr>
        <w:t>的法定代表人，现授权委托本单位</w:t>
      </w:r>
      <w:r>
        <w:rPr>
          <w:rFonts w:hint="eastAsia" w:ascii="仿宋" w:hAnsi="仿宋" w:eastAsia="仿宋" w:cs="仿宋"/>
          <w:color w:val="auto"/>
          <w:sz w:val="24"/>
          <w:highlight w:val="none"/>
          <w:u w:val="single"/>
        </w:rPr>
        <w:t xml:space="preserve"> （姓名）</w:t>
      </w:r>
      <w:r>
        <w:rPr>
          <w:rFonts w:hint="eastAsia" w:ascii="仿宋" w:hAnsi="仿宋" w:eastAsia="仿宋" w:cs="仿宋"/>
          <w:color w:val="auto"/>
          <w:sz w:val="24"/>
          <w:highlight w:val="none"/>
        </w:rPr>
        <w:t>以我方的名义参加</w:t>
      </w:r>
      <w:r>
        <w:rPr>
          <w:rFonts w:hint="eastAsia" w:ascii="仿宋" w:hAnsi="仿宋" w:eastAsia="仿宋" w:cs="仿宋"/>
          <w:color w:val="auto"/>
          <w:sz w:val="24"/>
          <w:highlight w:val="none"/>
          <w:u w:val="single"/>
        </w:rPr>
        <w:t>___________________</w:t>
      </w:r>
      <w:r>
        <w:rPr>
          <w:rFonts w:hint="eastAsia" w:ascii="仿宋" w:hAnsi="仿宋" w:eastAsia="仿宋" w:cs="仿宋"/>
          <w:color w:val="auto"/>
          <w:sz w:val="24"/>
          <w:highlight w:val="none"/>
        </w:rPr>
        <w:t>项目的招标活动，并代表我方全权办理针对上述项目的投标、签约等具体事务和签署相关文件。</w:t>
      </w:r>
    </w:p>
    <w:p w14:paraId="7AD39E60">
      <w:pPr>
        <w:snapToGrid w:val="0"/>
        <w:spacing w:beforeLines="50" w:after="50"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我方对授权代理人的签名事项负全部责任。</w:t>
      </w:r>
    </w:p>
    <w:p w14:paraId="553A3266">
      <w:pPr>
        <w:snapToGrid w:val="0"/>
        <w:spacing w:beforeLines="50" w:after="50" w:line="460" w:lineRule="exact"/>
        <w:ind w:firstLine="482"/>
        <w:rPr>
          <w:rFonts w:hint="eastAsia" w:ascii="仿宋" w:hAnsi="仿宋" w:eastAsia="仿宋" w:cs="仿宋"/>
          <w:color w:val="auto"/>
          <w:sz w:val="24"/>
          <w:highlight w:val="none"/>
        </w:rPr>
      </w:pPr>
      <w:r>
        <w:rPr>
          <w:rFonts w:hint="eastAsia" w:ascii="仿宋" w:hAnsi="仿宋" w:eastAsia="仿宋" w:cs="仿宋"/>
          <w:color w:val="auto"/>
          <w:sz w:val="24"/>
          <w:highlight w:val="none"/>
        </w:rPr>
        <w:t>在撤销授权的书面通知以前，本授权书一直有效。授权代理人在授权书有效期内签署的所有文件不因授权的撤销而失效。</w:t>
      </w:r>
    </w:p>
    <w:p w14:paraId="3CFCD891">
      <w:pPr>
        <w:snapToGrid w:val="0"/>
        <w:spacing w:beforeLines="50" w:after="50" w:line="40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授权代理人无转委托权，特此委托。</w:t>
      </w:r>
    </w:p>
    <w:p w14:paraId="699F85B5">
      <w:pPr>
        <w:snapToGrid w:val="0"/>
        <w:spacing w:beforeLines="50" w:after="50" w:line="400" w:lineRule="exact"/>
        <w:rPr>
          <w:rFonts w:hint="eastAsia" w:ascii="仿宋" w:hAnsi="仿宋" w:eastAsia="仿宋" w:cs="仿宋"/>
          <w:color w:val="auto"/>
          <w:sz w:val="24"/>
          <w:highlight w:val="none"/>
        </w:rPr>
      </w:pPr>
    </w:p>
    <w:p w14:paraId="77575F27">
      <w:pPr>
        <w:snapToGrid w:val="0"/>
        <w:spacing w:beforeLines="50" w:after="50" w:line="400" w:lineRule="exact"/>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授权代理人签名：         法定代表人签名：</w:t>
      </w:r>
    </w:p>
    <w:p w14:paraId="2CDC4560">
      <w:pPr>
        <w:snapToGrid w:val="0"/>
        <w:spacing w:beforeLines="50" w:after="50" w:line="400" w:lineRule="exact"/>
        <w:rPr>
          <w:rFonts w:hint="eastAsia" w:ascii="仿宋" w:hAnsi="仿宋" w:eastAsia="仿宋" w:cs="仿宋"/>
          <w:color w:val="auto"/>
          <w:sz w:val="24"/>
          <w:highlight w:val="none"/>
          <w:u w:val="single"/>
        </w:rPr>
      </w:pPr>
    </w:p>
    <w:p w14:paraId="110C387E">
      <w:pPr>
        <w:snapToGrid w:val="0"/>
        <w:spacing w:beforeLines="50" w:after="50" w:line="400" w:lineRule="exact"/>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职务：                   职务：</w:t>
      </w:r>
    </w:p>
    <w:p w14:paraId="40AAD28C">
      <w:pPr>
        <w:snapToGrid w:val="0"/>
        <w:spacing w:beforeLines="50" w:after="50" w:line="400" w:lineRule="exact"/>
        <w:ind w:firstLine="960" w:firstLineChars="400"/>
        <w:rPr>
          <w:rFonts w:hint="eastAsia" w:ascii="仿宋" w:hAnsi="仿宋" w:eastAsia="仿宋" w:cs="仿宋"/>
          <w:color w:val="auto"/>
          <w:sz w:val="24"/>
          <w:highlight w:val="none"/>
        </w:rPr>
      </w:pPr>
    </w:p>
    <w:p w14:paraId="3BE47F73">
      <w:pPr>
        <w:snapToGrid w:val="0"/>
        <w:spacing w:beforeLines="50" w:after="50"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授权代理人身份证号码：</w:t>
      </w:r>
    </w:p>
    <w:p w14:paraId="06F104B1">
      <w:pPr>
        <w:snapToGrid w:val="0"/>
        <w:spacing w:beforeLines="50" w:after="50" w:line="400" w:lineRule="exact"/>
        <w:rPr>
          <w:rFonts w:hint="eastAsia" w:ascii="仿宋" w:hAnsi="仿宋" w:eastAsia="仿宋" w:cs="仿宋"/>
          <w:color w:val="auto"/>
          <w:sz w:val="24"/>
          <w:highlight w:val="none"/>
        </w:rPr>
      </w:pPr>
    </w:p>
    <w:p w14:paraId="0DE52A3F">
      <w:pPr>
        <w:snapToGrid w:val="0"/>
        <w:spacing w:beforeLines="50" w:after="50"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投标人公章：</w:t>
      </w:r>
    </w:p>
    <w:p w14:paraId="769201FA">
      <w:pPr>
        <w:snapToGrid w:val="0"/>
        <w:spacing w:beforeLines="50" w:after="50"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p w14:paraId="013725B3">
      <w:pPr>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p>
    <w:p w14:paraId="72F02951">
      <w:pPr>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授权代理人有效身份证明复印件粘贴处</w:t>
      </w:r>
    </w:p>
    <w:p w14:paraId="0B474ACD">
      <w:pPr>
        <w:jc w:val="center"/>
        <w:rPr>
          <w:rFonts w:hint="eastAsia" w:ascii="仿宋" w:hAnsi="仿宋" w:eastAsia="仿宋" w:cs="仿宋"/>
          <w:color w:val="auto"/>
          <w:kern w:val="0"/>
          <w:sz w:val="28"/>
          <w:szCs w:val="28"/>
          <w:highlight w:val="none"/>
        </w:rPr>
      </w:pPr>
    </w:p>
    <w:p w14:paraId="61DFC85A">
      <w:pPr>
        <w:pStyle w:val="11"/>
        <w:rPr>
          <w:rFonts w:hint="eastAsia" w:ascii="仿宋" w:hAnsi="仿宋" w:eastAsia="仿宋" w:cs="仿宋"/>
          <w:color w:val="auto"/>
          <w:highlight w:val="none"/>
        </w:rPr>
      </w:pPr>
    </w:p>
    <w:p w14:paraId="1DE48827">
      <w:pPr>
        <w:rPr>
          <w:rFonts w:hint="eastAsia"/>
          <w:color w:val="auto"/>
          <w:highlight w:val="none"/>
        </w:rPr>
      </w:pPr>
    </w:p>
    <w:p w14:paraId="30F64B99">
      <w:pPr>
        <w:pStyle w:val="11"/>
        <w:rPr>
          <w:rFonts w:hint="eastAsia" w:ascii="仿宋" w:hAnsi="仿宋" w:eastAsia="仿宋" w:cs="仿宋"/>
          <w:color w:val="auto"/>
          <w:highlight w:val="none"/>
        </w:rPr>
      </w:pPr>
    </w:p>
    <w:p w14:paraId="435B078C">
      <w:pPr>
        <w:pStyle w:val="11"/>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附：</w:t>
      </w:r>
    </w:p>
    <w:p w14:paraId="371FFEED">
      <w:pPr>
        <w:pStyle w:val="11"/>
        <w:rPr>
          <w:rFonts w:hint="eastAsia" w:ascii="仿宋" w:hAnsi="仿宋" w:eastAsia="仿宋" w:cs="仿宋"/>
          <w:color w:val="auto"/>
          <w:highlight w:val="none"/>
        </w:rPr>
      </w:pPr>
    </w:p>
    <w:p w14:paraId="462B81BB">
      <w:pPr>
        <w:snapToGrid w:val="0"/>
        <w:spacing w:line="560" w:lineRule="exact"/>
        <w:jc w:val="center"/>
        <w:rPr>
          <w:rFonts w:hint="eastAsia" w:ascii="仿宋" w:hAnsi="仿宋" w:eastAsia="仿宋" w:cs="仿宋"/>
          <w:color w:val="auto"/>
          <w:highlight w:val="none"/>
        </w:rPr>
      </w:pPr>
      <w:r>
        <w:rPr>
          <w:rFonts w:hint="eastAsia" w:ascii="仿宋" w:hAnsi="仿宋" w:eastAsia="仿宋" w:cs="仿宋"/>
          <w:color w:val="auto"/>
          <w:sz w:val="24"/>
          <w:highlight w:val="none"/>
          <w:lang w:eastAsia="zh-CN"/>
        </w:rPr>
        <w:t>授权委托人</w:t>
      </w:r>
      <w:r>
        <w:rPr>
          <w:rFonts w:hint="eastAsia" w:ascii="仿宋" w:hAnsi="仿宋" w:eastAsia="仿宋" w:cs="仿宋"/>
          <w:color w:val="auto"/>
          <w:sz w:val="24"/>
          <w:highlight w:val="none"/>
        </w:rPr>
        <w:t>最近1个月个人社保缴纳证明文件</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复印件加盖投标单位公章</w:t>
      </w:r>
      <w:r>
        <w:rPr>
          <w:rFonts w:hint="eastAsia" w:ascii="仿宋" w:hAnsi="仿宋" w:eastAsia="仿宋" w:cs="仿宋"/>
          <w:color w:val="auto"/>
          <w:sz w:val="24"/>
          <w:highlight w:val="none"/>
          <w:lang w:eastAsia="zh-CN"/>
        </w:rPr>
        <w:t>）</w:t>
      </w:r>
      <w:r>
        <w:rPr>
          <w:rFonts w:hint="eastAsia" w:ascii="仿宋" w:hAnsi="仿宋" w:eastAsia="仿宋" w:cs="仿宋"/>
          <w:color w:val="auto"/>
          <w:highlight w:val="none"/>
        </w:rPr>
        <w:br w:type="page"/>
      </w:r>
    </w:p>
    <w:p w14:paraId="78411F68">
      <w:pPr>
        <w:snapToGrid w:val="0"/>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承诺书</w:t>
      </w:r>
    </w:p>
    <w:p w14:paraId="0FC4205B">
      <w:pPr>
        <w:snapToGrid w:val="0"/>
        <w:spacing w:line="560" w:lineRule="exact"/>
        <w:jc w:val="center"/>
        <w:rPr>
          <w:rFonts w:ascii="仿宋" w:hAnsi="仿宋" w:eastAsia="仿宋" w:cs="仿宋"/>
          <w:b/>
          <w:color w:val="auto"/>
          <w:sz w:val="28"/>
          <w:szCs w:val="28"/>
          <w:highlight w:val="none"/>
        </w:rPr>
      </w:pPr>
    </w:p>
    <w:p w14:paraId="486FA416">
      <w:pPr>
        <w:tabs>
          <w:tab w:val="left" w:pos="1650"/>
        </w:tabs>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rPr>
        <w:t>政府采购活动，郑重承诺如下：</w:t>
      </w:r>
    </w:p>
    <w:p w14:paraId="407D3540">
      <w:pPr>
        <w:tabs>
          <w:tab w:val="left" w:pos="1650"/>
        </w:tabs>
        <w:jc w:val="left"/>
        <w:rPr>
          <w:rFonts w:ascii="仿宋" w:hAnsi="仿宋" w:eastAsia="仿宋" w:cs="仿宋"/>
          <w:color w:val="auto"/>
          <w:sz w:val="24"/>
          <w:highlight w:val="none"/>
          <w:u w:val="single"/>
        </w:rPr>
      </w:pPr>
    </w:p>
    <w:p w14:paraId="62D386C9">
      <w:pPr>
        <w:tabs>
          <w:tab w:val="left" w:pos="1650"/>
        </w:tabs>
        <w:spacing w:line="6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符合参与政府采购活动的资格条件并且没有税收缴纳、社会保障等方面的失信记录。且在投标时间截止前未被“信用中国”（www.creditchina.gov.cn）、“中国政府采购网”（www.ccgp.gov.cn）等列入失信被执行人、重大税收违法案件当事人名单、政府采购严重违法失信行为记录名单。</w:t>
      </w:r>
    </w:p>
    <w:p w14:paraId="7166E5C9">
      <w:pPr>
        <w:pStyle w:val="8"/>
        <w:rPr>
          <w:rFonts w:ascii="仿宋" w:hAnsi="仿宋" w:eastAsia="仿宋" w:cs="仿宋"/>
          <w:b/>
          <w:color w:val="auto"/>
          <w:sz w:val="28"/>
          <w:szCs w:val="28"/>
          <w:highlight w:val="none"/>
        </w:rPr>
      </w:pPr>
    </w:p>
    <w:p w14:paraId="50AD974F">
      <w:pPr>
        <w:rPr>
          <w:rFonts w:ascii="仿宋" w:hAnsi="仿宋" w:eastAsia="仿宋" w:cs="仿宋"/>
          <w:b/>
          <w:color w:val="auto"/>
          <w:sz w:val="28"/>
          <w:szCs w:val="28"/>
          <w:highlight w:val="none"/>
        </w:rPr>
      </w:pPr>
    </w:p>
    <w:p w14:paraId="4F44DA30">
      <w:pPr>
        <w:pStyle w:val="8"/>
        <w:rPr>
          <w:rFonts w:ascii="仿宋" w:hAnsi="仿宋" w:eastAsia="仿宋" w:cs="仿宋"/>
          <w:b/>
          <w:color w:val="auto"/>
          <w:sz w:val="28"/>
          <w:szCs w:val="28"/>
          <w:highlight w:val="none"/>
        </w:rPr>
      </w:pPr>
    </w:p>
    <w:p w14:paraId="77BEFB16">
      <w:pPr>
        <w:rPr>
          <w:rFonts w:ascii="仿宋" w:hAnsi="仿宋" w:eastAsia="仿宋" w:cs="仿宋"/>
          <w:b/>
          <w:color w:val="auto"/>
          <w:sz w:val="28"/>
          <w:szCs w:val="28"/>
          <w:highlight w:val="none"/>
        </w:rPr>
      </w:pPr>
    </w:p>
    <w:p w14:paraId="1D4A36C8">
      <w:pPr>
        <w:pStyle w:val="8"/>
        <w:rPr>
          <w:rFonts w:ascii="仿宋" w:hAnsi="仿宋" w:eastAsia="仿宋" w:cs="仿宋"/>
          <w:b/>
          <w:color w:val="auto"/>
          <w:sz w:val="28"/>
          <w:szCs w:val="28"/>
          <w:highlight w:val="none"/>
        </w:rPr>
      </w:pPr>
    </w:p>
    <w:p w14:paraId="22F8CAFC">
      <w:pPr>
        <w:rPr>
          <w:rFonts w:ascii="仿宋" w:hAnsi="仿宋" w:eastAsia="仿宋" w:cs="仿宋"/>
          <w:b/>
          <w:color w:val="auto"/>
          <w:sz w:val="28"/>
          <w:szCs w:val="28"/>
          <w:highlight w:val="none"/>
        </w:rPr>
      </w:pPr>
    </w:p>
    <w:p w14:paraId="3E3B2677">
      <w:pPr>
        <w:pStyle w:val="8"/>
        <w:rPr>
          <w:rFonts w:ascii="仿宋" w:hAnsi="仿宋" w:eastAsia="仿宋" w:cs="仿宋"/>
          <w:b/>
          <w:color w:val="auto"/>
          <w:sz w:val="28"/>
          <w:szCs w:val="28"/>
          <w:highlight w:val="none"/>
        </w:rPr>
      </w:pPr>
    </w:p>
    <w:p w14:paraId="5E69D3C5">
      <w:pPr>
        <w:pStyle w:val="39"/>
        <w:spacing w:before="0" w:beforeAutospacing="0" w:after="0" w:afterAutospacing="0" w:line="560" w:lineRule="exact"/>
        <w:ind w:firstLine="3240" w:firstLineChars="1350"/>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6A875D3B">
      <w:pPr>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时间：20**年*月*日</w:t>
      </w:r>
    </w:p>
    <w:p w14:paraId="53B16905">
      <w:pPr>
        <w:pStyle w:val="7"/>
        <w:rPr>
          <w:rFonts w:hint="eastAsia" w:ascii="仿宋" w:hAnsi="仿宋" w:eastAsia="仿宋" w:cs="仿宋"/>
          <w:color w:val="auto"/>
          <w:sz w:val="24"/>
          <w:highlight w:val="none"/>
        </w:rPr>
      </w:pPr>
    </w:p>
    <w:p w14:paraId="0D8D6E7F">
      <w:pPr>
        <w:pStyle w:val="12"/>
        <w:rPr>
          <w:rFonts w:hint="eastAsia" w:ascii="仿宋" w:hAnsi="仿宋" w:eastAsia="仿宋" w:cs="仿宋"/>
          <w:color w:val="auto"/>
          <w:sz w:val="24"/>
          <w:highlight w:val="none"/>
        </w:rPr>
      </w:pPr>
    </w:p>
    <w:p w14:paraId="4A6EF7FC">
      <w:pPr>
        <w:pStyle w:val="7"/>
        <w:rPr>
          <w:rFonts w:hint="eastAsia" w:ascii="仿宋" w:hAnsi="仿宋" w:eastAsia="仿宋" w:cs="仿宋"/>
          <w:color w:val="auto"/>
          <w:sz w:val="24"/>
          <w:highlight w:val="none"/>
        </w:rPr>
      </w:pPr>
    </w:p>
    <w:p w14:paraId="268197A7">
      <w:pPr>
        <w:pStyle w:val="12"/>
        <w:rPr>
          <w:rFonts w:hint="eastAsia" w:ascii="仿宋" w:hAnsi="仿宋" w:eastAsia="仿宋" w:cs="仿宋"/>
          <w:color w:val="auto"/>
          <w:sz w:val="24"/>
          <w:highlight w:val="none"/>
        </w:rPr>
      </w:pPr>
    </w:p>
    <w:p w14:paraId="64D6B6DC">
      <w:pPr>
        <w:pStyle w:val="7"/>
        <w:rPr>
          <w:rFonts w:hint="eastAsia" w:ascii="仿宋" w:hAnsi="仿宋" w:eastAsia="仿宋" w:cs="仿宋"/>
          <w:color w:val="auto"/>
          <w:sz w:val="24"/>
          <w:highlight w:val="none"/>
        </w:rPr>
      </w:pPr>
    </w:p>
    <w:p w14:paraId="12E76301">
      <w:pPr>
        <w:pStyle w:val="12"/>
        <w:rPr>
          <w:rFonts w:hint="eastAsia" w:ascii="仿宋" w:hAnsi="仿宋" w:eastAsia="仿宋" w:cs="仿宋"/>
          <w:color w:val="auto"/>
          <w:sz w:val="24"/>
          <w:highlight w:val="none"/>
        </w:rPr>
      </w:pPr>
    </w:p>
    <w:p w14:paraId="018976AC">
      <w:pPr>
        <w:pStyle w:val="7"/>
        <w:rPr>
          <w:rFonts w:hint="eastAsia" w:ascii="仿宋" w:hAnsi="仿宋" w:eastAsia="仿宋" w:cs="仿宋"/>
          <w:color w:val="auto"/>
          <w:sz w:val="24"/>
          <w:highlight w:val="none"/>
        </w:rPr>
      </w:pPr>
    </w:p>
    <w:p w14:paraId="7D89CDEA">
      <w:pPr>
        <w:pStyle w:val="12"/>
        <w:rPr>
          <w:rFonts w:hint="eastAsia" w:ascii="仿宋" w:hAnsi="仿宋" w:eastAsia="仿宋" w:cs="仿宋"/>
          <w:color w:val="auto"/>
          <w:sz w:val="24"/>
          <w:highlight w:val="none"/>
        </w:rPr>
      </w:pPr>
    </w:p>
    <w:p w14:paraId="427DAEF4">
      <w:pPr>
        <w:pStyle w:val="7"/>
        <w:rPr>
          <w:rFonts w:hint="eastAsia" w:ascii="仿宋" w:hAnsi="仿宋" w:eastAsia="仿宋" w:cs="仿宋"/>
          <w:color w:val="auto"/>
          <w:sz w:val="24"/>
          <w:highlight w:val="none"/>
        </w:rPr>
      </w:pPr>
    </w:p>
    <w:p w14:paraId="39474D1E">
      <w:pPr>
        <w:pStyle w:val="12"/>
        <w:rPr>
          <w:rFonts w:hint="eastAsia" w:ascii="仿宋" w:hAnsi="仿宋" w:eastAsia="仿宋" w:cs="仿宋"/>
          <w:color w:val="auto"/>
          <w:sz w:val="24"/>
          <w:highlight w:val="none"/>
        </w:rPr>
      </w:pPr>
    </w:p>
    <w:p w14:paraId="26827161">
      <w:pPr>
        <w:pStyle w:val="7"/>
        <w:rPr>
          <w:rFonts w:hint="eastAsia" w:ascii="仿宋" w:hAnsi="仿宋" w:eastAsia="仿宋" w:cs="仿宋"/>
          <w:color w:val="auto"/>
          <w:sz w:val="24"/>
          <w:highlight w:val="none"/>
        </w:rPr>
      </w:pPr>
    </w:p>
    <w:p w14:paraId="543CEBD8">
      <w:pPr>
        <w:pStyle w:val="12"/>
        <w:rPr>
          <w:rFonts w:hint="eastAsia" w:ascii="仿宋" w:hAnsi="仿宋" w:eastAsia="仿宋" w:cs="仿宋"/>
          <w:color w:val="auto"/>
          <w:sz w:val="24"/>
          <w:highlight w:val="none"/>
        </w:rPr>
      </w:pPr>
    </w:p>
    <w:p w14:paraId="58348481">
      <w:pPr>
        <w:pStyle w:val="7"/>
        <w:rPr>
          <w:rFonts w:hint="eastAsia" w:ascii="仿宋" w:hAnsi="仿宋" w:eastAsia="仿宋" w:cs="仿宋"/>
          <w:color w:val="auto"/>
          <w:sz w:val="24"/>
          <w:highlight w:val="none"/>
        </w:rPr>
      </w:pPr>
    </w:p>
    <w:p w14:paraId="6B2A0800">
      <w:pPr>
        <w:pStyle w:val="12"/>
        <w:rPr>
          <w:rFonts w:hint="eastAsia" w:ascii="仿宋" w:hAnsi="仿宋" w:eastAsia="仿宋" w:cs="仿宋"/>
          <w:color w:val="auto"/>
          <w:sz w:val="24"/>
          <w:highlight w:val="none"/>
        </w:rPr>
      </w:pPr>
    </w:p>
    <w:p w14:paraId="51F64E4D">
      <w:pPr>
        <w:pStyle w:val="7"/>
        <w:rPr>
          <w:color w:val="auto"/>
          <w:highlight w:val="none"/>
        </w:rPr>
      </w:pPr>
    </w:p>
    <w:p w14:paraId="1D3A58EF">
      <w:pPr>
        <w:pStyle w:val="23"/>
        <w:ind w:firstLine="2797" w:firstLineChars="995"/>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4.</w:t>
      </w:r>
      <w:r>
        <w:rPr>
          <w:rFonts w:hint="eastAsia" w:ascii="仿宋" w:hAnsi="仿宋" w:eastAsia="仿宋" w:cs="仿宋"/>
          <w:b/>
          <w:color w:val="auto"/>
          <w:sz w:val="28"/>
          <w:szCs w:val="28"/>
          <w:highlight w:val="none"/>
        </w:rPr>
        <w:t>信用承诺书</w:t>
      </w:r>
    </w:p>
    <w:p w14:paraId="440C950A">
      <w:pPr>
        <w:pStyle w:val="23"/>
        <w:ind w:firstLine="562"/>
        <w:jc w:val="center"/>
        <w:rPr>
          <w:rFonts w:hint="eastAsia" w:ascii="仿宋" w:hAnsi="仿宋" w:eastAsia="仿宋" w:cs="仿宋"/>
          <w:b/>
          <w:bCs/>
          <w:color w:val="auto"/>
          <w:sz w:val="28"/>
          <w:szCs w:val="28"/>
          <w:highlight w:val="none"/>
        </w:rPr>
      </w:pPr>
    </w:p>
    <w:p w14:paraId="7857CA43">
      <w:pPr>
        <w:tabs>
          <w:tab w:val="left" w:pos="1650"/>
        </w:tabs>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（投标人）</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rPr>
        <w:t>政府采购活动，郑重承诺如下：</w:t>
      </w:r>
    </w:p>
    <w:p w14:paraId="3158F667">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对所提供的资料合法性、真实性、准确性和有效性负责；</w:t>
      </w:r>
    </w:p>
    <w:p w14:paraId="7ABC782F">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严格按照国家法律、法规和规章，依法开展相关经济活动，全面履行应尽的责任和义务；</w:t>
      </w:r>
    </w:p>
    <w:p w14:paraId="73DA5635">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加强自我约束、自我规范、自我管理，不制假售假、不虚假宣传、不违约毁约、不恶意逃债、不偷税漏税，诚信依法经营；</w:t>
      </w:r>
    </w:p>
    <w:p w14:paraId="666F9A0B">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自愿接受行政主管部门的依法检查、违背承诺约定将自愿承担违约责任，并接受法律法规和相关部门规章制度的惩戒和约束；</w:t>
      </w:r>
    </w:p>
    <w:p w14:paraId="36DE1C4B">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按照信用信息管理有关要求，本单位（个人）同意将以上承诺在信用湖州网站公示，若违背以上承诺，依据相关规定记入企业（个人）信用档案；性质严重的，承担相应法律后果和责任，并依法依规列入严重失信名单。</w:t>
      </w:r>
    </w:p>
    <w:p w14:paraId="175C3983">
      <w:pPr>
        <w:tabs>
          <w:tab w:val="left" w:pos="1650"/>
        </w:tabs>
        <w:spacing w:line="560" w:lineRule="exact"/>
        <w:rPr>
          <w:rFonts w:hint="eastAsia" w:ascii="仿宋" w:hAnsi="仿宋" w:eastAsia="仿宋" w:cs="仿宋"/>
          <w:color w:val="auto"/>
          <w:sz w:val="24"/>
          <w:highlight w:val="none"/>
          <w:u w:val="single"/>
        </w:rPr>
      </w:pPr>
    </w:p>
    <w:p w14:paraId="65A80C2B">
      <w:pPr>
        <w:tabs>
          <w:tab w:val="left" w:pos="1650"/>
        </w:tabs>
        <w:spacing w:line="560" w:lineRule="exact"/>
        <w:rPr>
          <w:rFonts w:hint="eastAsia" w:ascii="仿宋" w:hAnsi="仿宋" w:eastAsia="仿宋" w:cs="仿宋"/>
          <w:color w:val="auto"/>
          <w:sz w:val="24"/>
          <w:highlight w:val="none"/>
          <w:u w:val="single"/>
        </w:rPr>
      </w:pPr>
    </w:p>
    <w:p w14:paraId="4074EBA6">
      <w:pPr>
        <w:pStyle w:val="39"/>
        <w:spacing w:before="0" w:beforeAutospacing="0" w:after="0" w:afterAutospacing="0" w:line="560" w:lineRule="exact"/>
        <w:ind w:firstLine="600" w:firstLineChars="250"/>
        <w:rPr>
          <w:rFonts w:hint="eastAsia" w:ascii="仿宋" w:hAnsi="仿宋" w:eastAsia="仿宋" w:cs="仿宋"/>
          <w:color w:val="auto"/>
          <w:spacing w:val="-7"/>
          <w:highlight w:val="none"/>
        </w:rPr>
      </w:pPr>
      <w:r>
        <w:rPr>
          <w:rFonts w:hint="eastAsia" w:ascii="仿宋" w:hAnsi="仿宋" w:eastAsia="仿宋" w:cs="仿宋"/>
          <w:color w:val="auto"/>
          <w:kern w:val="2"/>
          <w:highlight w:val="none"/>
        </w:rPr>
        <w:t>统一社会信用代码：</w:t>
      </w:r>
    </w:p>
    <w:p w14:paraId="20C48B6D">
      <w:pPr>
        <w:pStyle w:val="39"/>
        <w:spacing w:before="0" w:beforeAutospacing="0" w:after="0" w:afterAutospacing="0" w:line="560" w:lineRule="exact"/>
        <w:rPr>
          <w:rFonts w:hint="eastAsia" w:ascii="仿宋" w:hAnsi="仿宋" w:eastAsia="仿宋" w:cs="仿宋"/>
          <w:color w:val="auto"/>
          <w:highlight w:val="none"/>
        </w:rPr>
      </w:pPr>
    </w:p>
    <w:p w14:paraId="19147AFA">
      <w:pPr>
        <w:pStyle w:val="39"/>
        <w:spacing w:before="0" w:beforeAutospacing="0" w:after="0" w:afterAutospacing="0" w:line="560" w:lineRule="exact"/>
        <w:ind w:firstLine="3240" w:firstLineChars="1350"/>
        <w:rPr>
          <w:rFonts w:hint="eastAsia"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2B52B2F2">
      <w:pPr>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时间：20**年*月*日</w:t>
      </w:r>
    </w:p>
    <w:p w14:paraId="62C7295E">
      <w:pPr>
        <w:pStyle w:val="13"/>
        <w:rPr>
          <w:rFonts w:hint="eastAsia" w:ascii="仿宋" w:hAnsi="仿宋" w:eastAsia="仿宋" w:cs="仿宋"/>
          <w:color w:val="auto"/>
          <w:highlight w:val="none"/>
        </w:rPr>
      </w:pPr>
    </w:p>
    <w:p w14:paraId="77155C8F">
      <w:pPr>
        <w:pStyle w:val="13"/>
        <w:rPr>
          <w:rFonts w:hint="eastAsia" w:ascii="仿宋" w:hAnsi="仿宋" w:eastAsia="仿宋" w:cs="仿宋"/>
          <w:color w:val="auto"/>
          <w:highlight w:val="none"/>
        </w:rPr>
      </w:pPr>
    </w:p>
    <w:p w14:paraId="372B512A">
      <w:pPr>
        <w:pStyle w:val="13"/>
        <w:rPr>
          <w:rFonts w:hint="eastAsia" w:ascii="仿宋" w:hAnsi="仿宋" w:eastAsia="仿宋" w:cs="仿宋"/>
          <w:color w:val="auto"/>
          <w:highlight w:val="none"/>
        </w:rPr>
      </w:pPr>
    </w:p>
    <w:p w14:paraId="3D251C41">
      <w:pPr>
        <w:pStyle w:val="13"/>
        <w:rPr>
          <w:rFonts w:hint="eastAsia" w:ascii="仿宋" w:hAnsi="仿宋" w:eastAsia="仿宋" w:cs="仿宋"/>
          <w:color w:val="auto"/>
          <w:highlight w:val="none"/>
        </w:rPr>
      </w:pPr>
    </w:p>
    <w:p w14:paraId="3E7D368F">
      <w:pPr>
        <w:pStyle w:val="13"/>
        <w:rPr>
          <w:rFonts w:hint="eastAsia" w:ascii="仿宋" w:hAnsi="仿宋" w:eastAsia="仿宋" w:cs="仿宋"/>
          <w:color w:val="auto"/>
          <w:highlight w:val="none"/>
        </w:rPr>
      </w:pPr>
    </w:p>
    <w:p w14:paraId="63A3FBC7">
      <w:pPr>
        <w:pStyle w:val="13"/>
        <w:rPr>
          <w:rFonts w:hint="eastAsia" w:ascii="仿宋" w:hAnsi="仿宋" w:eastAsia="仿宋" w:cs="仿宋"/>
          <w:color w:val="auto"/>
          <w:highlight w:val="none"/>
        </w:rPr>
      </w:pPr>
    </w:p>
    <w:p w14:paraId="285189E5">
      <w:pPr>
        <w:pStyle w:val="13"/>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152B2A0C">
      <w:pPr>
        <w:autoSpaceDE w:val="0"/>
        <w:autoSpaceDN w:val="0"/>
        <w:jc w:val="both"/>
        <w:rPr>
          <w:rFonts w:hint="eastAsia" w:ascii="仿宋" w:hAnsi="仿宋" w:eastAsia="仿宋" w:cs="仿宋"/>
          <w:b/>
          <w:color w:val="auto"/>
          <w:spacing w:val="6"/>
          <w:sz w:val="32"/>
          <w:szCs w:val="32"/>
          <w:highlight w:val="none"/>
        </w:rPr>
      </w:pPr>
    </w:p>
    <w:p w14:paraId="3397B819">
      <w:pPr>
        <w:spacing w:line="360" w:lineRule="auto"/>
        <w:jc w:val="center"/>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5.</w:t>
      </w:r>
      <w:r>
        <w:rPr>
          <w:rFonts w:hint="eastAsia" w:ascii="仿宋" w:hAnsi="仿宋" w:eastAsia="仿宋" w:cs="仿宋"/>
          <w:b/>
          <w:bCs/>
          <w:color w:val="auto"/>
          <w:sz w:val="28"/>
          <w:szCs w:val="28"/>
          <w:highlight w:val="none"/>
        </w:rPr>
        <w:t>中小企业声明函（工程、 服务）</w:t>
      </w:r>
    </w:p>
    <w:p w14:paraId="4744578B">
      <w:pPr>
        <w:spacing w:line="560" w:lineRule="exact"/>
        <w:ind w:firstLine="720" w:firstLineChars="3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本公司（联合体）郑重声明，根据《政府采购促进中小企业发展管理办法》（财库﹝2020﹞46 号）的规定，本公司 （联合体）参加</w:t>
      </w:r>
      <w:r>
        <w:rPr>
          <w:rFonts w:hint="eastAsia" w:ascii="仿宋" w:hAnsi="仿宋" w:eastAsia="仿宋" w:cs="仿宋"/>
          <w:color w:val="auto"/>
          <w:sz w:val="24"/>
          <w:highlight w:val="none"/>
          <w:u w:val="single"/>
        </w:rPr>
        <w:t xml:space="preserve"> （ 单位名称 ） </w:t>
      </w:r>
      <w:r>
        <w:rPr>
          <w:rFonts w:hint="eastAsia" w:ascii="仿宋" w:hAnsi="仿宋" w:eastAsia="仿宋" w:cs="仿宋"/>
          <w:color w:val="auto"/>
          <w:sz w:val="24"/>
          <w:highlight w:val="none"/>
        </w:rPr>
        <w:t xml:space="preserve">的 </w:t>
      </w:r>
      <w:r>
        <w:rPr>
          <w:rFonts w:hint="eastAsia" w:ascii="仿宋" w:hAnsi="仿宋" w:eastAsia="仿宋" w:cs="仿宋"/>
          <w:color w:val="auto"/>
          <w:sz w:val="24"/>
          <w:highlight w:val="none"/>
          <w:u w:val="single"/>
        </w:rPr>
        <w:t>（ 项目名称 ）</w:t>
      </w:r>
      <w:r>
        <w:rPr>
          <w:rFonts w:hint="eastAsia" w:ascii="仿宋" w:hAnsi="仿宋" w:eastAsia="仿宋" w:cs="仿宋"/>
          <w:color w:val="auto"/>
          <w:sz w:val="24"/>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3CFDE528">
      <w:pPr>
        <w:spacing w:line="560" w:lineRule="exact"/>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 </w:t>
      </w:r>
      <w:r>
        <w:rPr>
          <w:rFonts w:hint="eastAsia" w:ascii="仿宋" w:hAnsi="仿宋" w:eastAsia="仿宋" w:cs="仿宋"/>
          <w:color w:val="auto"/>
          <w:sz w:val="24"/>
          <w:highlight w:val="none"/>
          <w:u w:val="single"/>
        </w:rPr>
        <w:t xml:space="preserve">（ 标的名称 ）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 采购文件中明确的所属行业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 企业名称）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（中型企业 、小型企业 、微型企业 ） </w:t>
      </w:r>
      <w:r>
        <w:rPr>
          <w:rFonts w:hint="eastAsia" w:ascii="仿宋" w:hAnsi="仿宋" w:eastAsia="仿宋" w:cs="仿宋"/>
          <w:color w:val="auto"/>
          <w:sz w:val="24"/>
          <w:highlight w:val="none"/>
        </w:rPr>
        <w:t xml:space="preserve">； </w:t>
      </w:r>
    </w:p>
    <w:p w14:paraId="2B16B0A2">
      <w:pPr>
        <w:spacing w:line="560" w:lineRule="exact"/>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 </w:t>
      </w:r>
      <w:r>
        <w:rPr>
          <w:rFonts w:hint="eastAsia" w:ascii="仿宋" w:hAnsi="仿宋" w:eastAsia="仿宋" w:cs="仿宋"/>
          <w:color w:val="auto"/>
          <w:sz w:val="24"/>
          <w:highlight w:val="none"/>
          <w:u w:val="single"/>
        </w:rPr>
        <w:t xml:space="preserve">（ 标的名称 ）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 采购文件中明确的所属行业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 企业名称）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（中型企业 、小型企业 、微型企业 ） </w:t>
      </w:r>
      <w:r>
        <w:rPr>
          <w:rFonts w:hint="eastAsia" w:ascii="仿宋" w:hAnsi="仿宋" w:eastAsia="仿宋" w:cs="仿宋"/>
          <w:color w:val="auto"/>
          <w:sz w:val="24"/>
          <w:highlight w:val="none"/>
        </w:rPr>
        <w:t>；</w:t>
      </w:r>
    </w:p>
    <w:p w14:paraId="16A29786">
      <w:pPr>
        <w:spacing w:line="560" w:lineRule="exact"/>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6EA428EF">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以上企业，不属于大企业的分支机构，不存在控股股东为大企业的情形，也不存在与大企业的负责人为同一人的情形。 本企业对上述声明内容的真实性负责。如有虚假，将依法承担相应责任。 </w:t>
      </w:r>
    </w:p>
    <w:p w14:paraId="79297E68">
      <w:pPr>
        <w:tabs>
          <w:tab w:val="left" w:pos="2996"/>
        </w:tabs>
        <w:spacing w:line="600" w:lineRule="exact"/>
        <w:ind w:firstLine="480" w:firstLineChars="200"/>
        <w:rPr>
          <w:rFonts w:hint="eastAsia" w:ascii="仿宋" w:hAnsi="仿宋" w:eastAsia="仿宋" w:cs="仿宋"/>
          <w:color w:val="auto"/>
          <w:sz w:val="24"/>
          <w:highlight w:val="none"/>
        </w:rPr>
      </w:pPr>
    </w:p>
    <w:p w14:paraId="0149A8A5">
      <w:pPr>
        <w:tabs>
          <w:tab w:val="left" w:pos="2996"/>
        </w:tabs>
        <w:spacing w:line="600" w:lineRule="exact"/>
        <w:ind w:firstLine="480" w:firstLineChars="200"/>
        <w:rPr>
          <w:rFonts w:hint="eastAsia" w:ascii="仿宋" w:hAnsi="仿宋" w:eastAsia="仿宋" w:cs="仿宋"/>
          <w:color w:val="auto"/>
          <w:sz w:val="24"/>
          <w:highlight w:val="none"/>
        </w:rPr>
      </w:pPr>
    </w:p>
    <w:p w14:paraId="29A4161F">
      <w:pPr>
        <w:tabs>
          <w:tab w:val="left" w:pos="2996"/>
        </w:tabs>
        <w:spacing w:line="600" w:lineRule="exact"/>
        <w:ind w:firstLine="480" w:firstLineChars="20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14:paraId="0D989E35">
      <w:pPr>
        <w:tabs>
          <w:tab w:val="left" w:pos="2996"/>
        </w:tabs>
        <w:spacing w:line="600" w:lineRule="exact"/>
        <w:ind w:firstLine="480" w:firstLineChars="20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p w14:paraId="339C6476">
      <w:pPr>
        <w:snapToGrid w:val="0"/>
        <w:spacing w:before="50" w:after="50" w:line="360" w:lineRule="auto"/>
        <w:jc w:val="center"/>
        <w:rPr>
          <w:rFonts w:hint="eastAsia" w:ascii="仿宋" w:hAnsi="仿宋" w:eastAsia="仿宋" w:cs="仿宋"/>
          <w:b/>
          <w:color w:val="auto"/>
          <w:sz w:val="28"/>
          <w:szCs w:val="28"/>
          <w:highlight w:val="none"/>
        </w:rPr>
      </w:pPr>
    </w:p>
    <w:p w14:paraId="43683D73">
      <w:pPr>
        <w:pStyle w:val="40"/>
        <w:ind w:firstLine="241"/>
        <w:rPr>
          <w:rFonts w:hint="eastAsia" w:ascii="仿宋" w:hAnsi="仿宋" w:eastAsia="仿宋" w:cs="仿宋"/>
          <w:color w:val="auto"/>
          <w:highlight w:val="none"/>
        </w:rPr>
      </w:pPr>
    </w:p>
    <w:p w14:paraId="20BDE4DF">
      <w:pPr>
        <w:pStyle w:val="40"/>
        <w:ind w:firstLine="0" w:firstLineChars="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lang w:val="en-US" w:eastAsia="zh-CN"/>
        </w:rPr>
        <w:t xml:space="preserve">      </w:t>
      </w:r>
    </w:p>
    <w:p w14:paraId="17EBE21E">
      <w:pPr>
        <w:keepNext w:val="0"/>
        <w:keepLines w:val="0"/>
        <w:widowControl/>
        <w:suppressLineNumbers w:val="0"/>
        <w:jc w:val="left"/>
        <w:rPr>
          <w:rFonts w:hint="eastAsia" w:ascii="仿宋" w:hAnsi="仿宋" w:eastAsia="仿宋" w:cs="仿宋"/>
          <w:color w:val="auto"/>
          <w:kern w:val="0"/>
          <w:sz w:val="18"/>
          <w:szCs w:val="18"/>
          <w:highlight w:val="none"/>
          <w:lang w:val="en-US" w:eastAsia="zh-CN" w:bidi="ar"/>
        </w:rPr>
      </w:pPr>
      <w:r>
        <w:rPr>
          <w:rFonts w:hint="eastAsia" w:ascii="仿宋" w:hAnsi="仿宋" w:eastAsia="仿宋" w:cs="仿宋"/>
          <w:color w:val="auto"/>
          <w:kern w:val="0"/>
          <w:sz w:val="11"/>
          <w:szCs w:val="11"/>
          <w:highlight w:val="none"/>
          <w:lang w:val="en-US" w:eastAsia="zh-CN" w:bidi="ar"/>
        </w:rPr>
        <w:t>1</w:t>
      </w:r>
      <w:r>
        <w:rPr>
          <w:rFonts w:hint="eastAsia" w:ascii="仿宋" w:hAnsi="仿宋" w:eastAsia="仿宋" w:cs="仿宋"/>
          <w:color w:val="auto"/>
          <w:kern w:val="0"/>
          <w:sz w:val="18"/>
          <w:szCs w:val="18"/>
          <w:highlight w:val="none"/>
          <w:lang w:val="en-US" w:eastAsia="zh-CN" w:bidi="ar"/>
        </w:rPr>
        <w:t>从业人员、营业收入、资产总额填报上一年度数据，无上一年度数据的新成立企业可不填报。</w:t>
      </w:r>
    </w:p>
    <w:p w14:paraId="0EFF8082">
      <w:pPr>
        <w:spacing w:line="52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本项目采购</w:t>
      </w:r>
      <w:r>
        <w:rPr>
          <w:rFonts w:hint="eastAsia" w:ascii="仿宋" w:hAnsi="仿宋" w:eastAsia="仿宋" w:cs="仿宋"/>
          <w:b/>
          <w:color w:val="auto"/>
          <w:sz w:val="24"/>
          <w:szCs w:val="24"/>
          <w:highlight w:val="none"/>
        </w:rPr>
        <w:t>文件中明确的所属行业</w:t>
      </w: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lang w:val="en-US" w:eastAsia="zh-CN"/>
        </w:rPr>
        <w:t>建筑业</w:t>
      </w:r>
    </w:p>
    <w:p w14:paraId="04EE70A7">
      <w:pPr>
        <w:pStyle w:val="12"/>
        <w:ind w:left="0" w:leftChars="0" w:firstLine="0" w:firstLineChars="0"/>
        <w:rPr>
          <w:rFonts w:hint="eastAsia" w:ascii="仿宋" w:hAnsi="仿宋" w:eastAsia="仿宋" w:cs="仿宋"/>
          <w:color w:val="auto"/>
          <w:sz w:val="24"/>
          <w:highlight w:val="none"/>
        </w:rPr>
      </w:pPr>
    </w:p>
    <w:p w14:paraId="7082ED07">
      <w:pPr>
        <w:snapToGrid w:val="0"/>
        <w:spacing w:before="50" w:after="50" w:line="360" w:lineRule="auto"/>
        <w:jc w:val="center"/>
        <w:outlineLvl w:val="1"/>
        <w:rPr>
          <w:rFonts w:hint="eastAsia" w:ascii="仿宋" w:hAnsi="仿宋" w:eastAsia="仿宋" w:cs="仿宋"/>
          <w:b/>
          <w:color w:val="auto"/>
          <w:sz w:val="28"/>
          <w:szCs w:val="28"/>
          <w:highlight w:val="none"/>
        </w:rPr>
      </w:pPr>
    </w:p>
    <w:p w14:paraId="39B35EDA">
      <w:pPr>
        <w:snapToGrid w:val="0"/>
        <w:spacing w:before="50" w:after="50" w:line="360" w:lineRule="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6.</w:t>
      </w:r>
      <w:r>
        <w:rPr>
          <w:rFonts w:hint="eastAsia" w:ascii="仿宋" w:hAnsi="仿宋" w:eastAsia="仿宋" w:cs="仿宋"/>
          <w:b/>
          <w:color w:val="auto"/>
          <w:sz w:val="28"/>
          <w:szCs w:val="28"/>
          <w:highlight w:val="none"/>
        </w:rPr>
        <w:t>监狱企业声明函（如有）</w:t>
      </w:r>
    </w:p>
    <w:p w14:paraId="7FA64D0C">
      <w:pPr>
        <w:pStyle w:val="11"/>
        <w:spacing w:line="46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【非监狱企业的不用提供】</w:t>
      </w:r>
    </w:p>
    <w:p w14:paraId="625C86A9">
      <w:pPr>
        <w:pStyle w:val="1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本企业郑重声明，根据《关于政府采购支持监狱企业发展有关问题的通知》(财库[2014]68号）的规定，本企业为监狱企业。 </w:t>
      </w:r>
    </w:p>
    <w:p w14:paraId="1347AD64">
      <w:pPr>
        <w:pStyle w:val="1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根据上述标准，我企业属于监狱企业的理由为: </w:t>
      </w:r>
    </w:p>
    <w:p w14:paraId="2723C650">
      <w:pPr>
        <w:pStyle w:val="1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本企业为参加</w:t>
      </w:r>
      <w:r>
        <w:rPr>
          <w:rFonts w:hint="eastAsia" w:ascii="仿宋" w:hAnsi="仿宋" w:eastAsia="仿宋" w:cs="仿宋"/>
          <w:color w:val="auto"/>
          <w:highlight w:val="none"/>
          <w:u w:val="single"/>
        </w:rPr>
        <w:t>(项目名称: ) (项目编号: )</w:t>
      </w:r>
      <w:r>
        <w:rPr>
          <w:rFonts w:hint="eastAsia" w:ascii="仿宋" w:hAnsi="仿宋" w:eastAsia="仿宋" w:cs="仿宋"/>
          <w:color w:val="auto"/>
          <w:highlight w:val="none"/>
        </w:rPr>
        <w:t xml:space="preserve">采购活动提供本企业的产品。 </w:t>
      </w:r>
    </w:p>
    <w:p w14:paraId="0C7BE8E0">
      <w:pPr>
        <w:pStyle w:val="1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本企业对上述声明的真实性负责。如有虚假，将依法承担相应责任。 </w:t>
      </w:r>
    </w:p>
    <w:p w14:paraId="6D32CDDB">
      <w:pPr>
        <w:pStyle w:val="11"/>
        <w:spacing w:line="460" w:lineRule="exact"/>
        <w:ind w:firstLine="480" w:firstLineChars="200"/>
        <w:rPr>
          <w:rFonts w:hint="eastAsia" w:ascii="仿宋" w:hAnsi="仿宋" w:eastAsia="仿宋" w:cs="仿宋"/>
          <w:color w:val="auto"/>
          <w:highlight w:val="none"/>
        </w:rPr>
      </w:pPr>
    </w:p>
    <w:p w14:paraId="4B2C5BC8">
      <w:pPr>
        <w:pStyle w:val="11"/>
        <w:spacing w:line="460" w:lineRule="exact"/>
        <w:ind w:firstLine="480" w:firstLineChars="200"/>
        <w:rPr>
          <w:rFonts w:hint="eastAsia" w:ascii="仿宋" w:hAnsi="仿宋" w:eastAsia="仿宋" w:cs="仿宋"/>
          <w:color w:val="auto"/>
          <w:highlight w:val="none"/>
        </w:rPr>
      </w:pPr>
    </w:p>
    <w:p w14:paraId="2ED8E904">
      <w:pPr>
        <w:pStyle w:val="11"/>
        <w:spacing w:line="4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投标人名称(盖章) : </w:t>
      </w:r>
    </w:p>
    <w:p w14:paraId="3DC7FFC5">
      <w:pPr>
        <w:pStyle w:val="11"/>
        <w:spacing w:line="460" w:lineRule="exact"/>
        <w:rPr>
          <w:rFonts w:hint="eastAsia" w:ascii="仿宋" w:hAnsi="仿宋" w:eastAsia="仿宋" w:cs="仿宋"/>
          <w:color w:val="auto"/>
          <w:highlight w:val="none"/>
        </w:rPr>
      </w:pPr>
    </w:p>
    <w:p w14:paraId="09153073">
      <w:pPr>
        <w:pStyle w:val="11"/>
        <w:spacing w:line="4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日期: 年 月 日 </w:t>
      </w:r>
    </w:p>
    <w:p w14:paraId="1EA475B0">
      <w:pPr>
        <w:pStyle w:val="11"/>
        <w:spacing w:line="460" w:lineRule="exact"/>
        <w:rPr>
          <w:rFonts w:hint="eastAsia" w:ascii="仿宋" w:hAnsi="仿宋" w:eastAsia="仿宋" w:cs="仿宋"/>
          <w:color w:val="auto"/>
          <w:highlight w:val="none"/>
        </w:rPr>
      </w:pPr>
    </w:p>
    <w:p w14:paraId="7E8E0974">
      <w:pPr>
        <w:snapToGrid w:val="0"/>
        <w:spacing w:beforeLines="50" w:after="50" w:line="4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监狱企业参加政府采购活动时，应当提供由省级以上监狱管理局、戒毒管理局(含新疆生产建设兵团)出具的属于监狱企业的证明文件。</w:t>
      </w:r>
    </w:p>
    <w:p w14:paraId="474794BF">
      <w:pPr>
        <w:snapToGrid w:val="0"/>
        <w:spacing w:beforeLines="50" w:after="50" w:line="4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723CF1B">
      <w:pPr>
        <w:snapToGrid w:val="0"/>
        <w:spacing w:beforeLines="50" w:after="50" w:line="460" w:lineRule="exact"/>
        <w:ind w:firstLine="480" w:firstLineChars="200"/>
        <w:jc w:val="left"/>
        <w:rPr>
          <w:rFonts w:hint="eastAsia" w:ascii="仿宋" w:hAnsi="仿宋" w:eastAsia="仿宋" w:cs="仿宋"/>
          <w:color w:val="auto"/>
          <w:sz w:val="24"/>
          <w:highlight w:val="none"/>
        </w:rPr>
      </w:pPr>
    </w:p>
    <w:p w14:paraId="35512EDD">
      <w:pPr>
        <w:pStyle w:val="13"/>
        <w:rPr>
          <w:rFonts w:hint="eastAsia" w:ascii="仿宋" w:hAnsi="仿宋" w:eastAsia="仿宋" w:cs="仿宋"/>
          <w:color w:val="auto"/>
          <w:sz w:val="24"/>
          <w:highlight w:val="none"/>
        </w:rPr>
      </w:pPr>
    </w:p>
    <w:p w14:paraId="278E6059">
      <w:pPr>
        <w:pStyle w:val="13"/>
        <w:rPr>
          <w:rFonts w:hint="eastAsia" w:ascii="仿宋" w:hAnsi="仿宋" w:eastAsia="仿宋" w:cs="仿宋"/>
          <w:color w:val="auto"/>
          <w:sz w:val="24"/>
          <w:highlight w:val="none"/>
        </w:rPr>
      </w:pPr>
    </w:p>
    <w:p w14:paraId="2D686092">
      <w:pPr>
        <w:pStyle w:val="13"/>
        <w:rPr>
          <w:rFonts w:hint="eastAsia" w:ascii="仿宋" w:hAnsi="仿宋" w:eastAsia="仿宋" w:cs="仿宋"/>
          <w:color w:val="auto"/>
          <w:sz w:val="24"/>
          <w:highlight w:val="none"/>
        </w:rPr>
      </w:pPr>
    </w:p>
    <w:p w14:paraId="2306E826">
      <w:pPr>
        <w:pStyle w:val="13"/>
        <w:rPr>
          <w:rFonts w:hint="eastAsia" w:ascii="仿宋" w:hAnsi="仿宋" w:eastAsia="仿宋" w:cs="仿宋"/>
          <w:color w:val="auto"/>
          <w:sz w:val="24"/>
          <w:highlight w:val="none"/>
        </w:rPr>
      </w:pPr>
    </w:p>
    <w:p w14:paraId="0FCE7E1E">
      <w:pPr>
        <w:pStyle w:val="13"/>
        <w:rPr>
          <w:rFonts w:hint="eastAsia" w:ascii="仿宋" w:hAnsi="仿宋" w:eastAsia="仿宋" w:cs="仿宋"/>
          <w:color w:val="auto"/>
          <w:sz w:val="24"/>
          <w:highlight w:val="none"/>
        </w:rPr>
      </w:pPr>
    </w:p>
    <w:p w14:paraId="4B59AF01">
      <w:pPr>
        <w:pStyle w:val="13"/>
        <w:rPr>
          <w:rFonts w:hint="eastAsia" w:ascii="仿宋" w:hAnsi="仿宋" w:eastAsia="仿宋" w:cs="仿宋"/>
          <w:color w:val="auto"/>
          <w:sz w:val="24"/>
          <w:highlight w:val="none"/>
        </w:rPr>
      </w:pPr>
    </w:p>
    <w:p w14:paraId="75591AB0">
      <w:pPr>
        <w:pStyle w:val="13"/>
        <w:rPr>
          <w:rFonts w:hint="eastAsia" w:ascii="仿宋" w:hAnsi="仿宋" w:eastAsia="仿宋" w:cs="仿宋"/>
          <w:color w:val="auto"/>
          <w:sz w:val="24"/>
          <w:highlight w:val="none"/>
        </w:rPr>
      </w:pPr>
    </w:p>
    <w:p w14:paraId="4D03AB78">
      <w:pPr>
        <w:pStyle w:val="13"/>
        <w:rPr>
          <w:rFonts w:hint="eastAsia" w:ascii="仿宋" w:hAnsi="仿宋" w:eastAsia="仿宋" w:cs="仿宋"/>
          <w:color w:val="auto"/>
          <w:sz w:val="24"/>
          <w:highlight w:val="none"/>
        </w:rPr>
      </w:pPr>
    </w:p>
    <w:p w14:paraId="07A9562C">
      <w:pPr>
        <w:pStyle w:val="13"/>
        <w:rPr>
          <w:rFonts w:hint="eastAsia" w:ascii="仿宋" w:hAnsi="仿宋" w:eastAsia="仿宋" w:cs="仿宋"/>
          <w:color w:val="auto"/>
          <w:sz w:val="24"/>
          <w:highlight w:val="none"/>
        </w:rPr>
      </w:pPr>
    </w:p>
    <w:p w14:paraId="02AB3C15">
      <w:pPr>
        <w:pStyle w:val="13"/>
        <w:rPr>
          <w:rFonts w:hint="eastAsia" w:ascii="仿宋" w:hAnsi="仿宋" w:eastAsia="仿宋" w:cs="仿宋"/>
          <w:color w:val="auto"/>
          <w:sz w:val="24"/>
          <w:highlight w:val="none"/>
        </w:rPr>
      </w:pPr>
    </w:p>
    <w:p w14:paraId="1809A626">
      <w:pPr>
        <w:pStyle w:val="11"/>
        <w:spacing w:line="460" w:lineRule="exact"/>
        <w:rPr>
          <w:rFonts w:hint="eastAsia" w:ascii="仿宋" w:hAnsi="仿宋" w:eastAsia="仿宋" w:cs="仿宋"/>
          <w:color w:val="auto"/>
          <w:highlight w:val="none"/>
        </w:rPr>
      </w:pPr>
    </w:p>
    <w:p w14:paraId="2065E4D5">
      <w:pPr>
        <w:snapToGrid w:val="0"/>
        <w:spacing w:before="50" w:after="50" w:line="360" w:lineRule="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7.</w:t>
      </w:r>
      <w:r>
        <w:rPr>
          <w:rFonts w:hint="eastAsia" w:ascii="仿宋" w:hAnsi="仿宋" w:eastAsia="仿宋" w:cs="仿宋"/>
          <w:b/>
          <w:color w:val="auto"/>
          <w:sz w:val="28"/>
          <w:szCs w:val="28"/>
          <w:highlight w:val="none"/>
        </w:rPr>
        <w:t>残疾人福利性单位声明函（如有）</w:t>
      </w:r>
    </w:p>
    <w:p w14:paraId="74AB226F">
      <w:pPr>
        <w:pStyle w:val="11"/>
        <w:spacing w:line="46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【非残疾人福利性单位不用提供】</w:t>
      </w:r>
    </w:p>
    <w:p w14:paraId="42D54DD0">
      <w:pPr>
        <w:pStyle w:val="1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本单位郑重声明，根据《财政部民政部中国残疾人联合会关于促进残疾人就业政府采购政策的通知》(财库(2017) 141号)的规定。本单位为符合条件的残疾人福利性单位，且本单位参加</w:t>
      </w:r>
      <w:r>
        <w:rPr>
          <w:rFonts w:hint="eastAsia" w:ascii="仿宋" w:hAnsi="仿宋" w:eastAsia="仿宋" w:cs="仿宋"/>
          <w:color w:val="auto"/>
          <w:highlight w:val="none"/>
          <w:u w:val="single"/>
        </w:rPr>
        <w:t xml:space="preserve"> (采购人名称)</w:t>
      </w:r>
      <w:r>
        <w:rPr>
          <w:rFonts w:hint="eastAsia" w:ascii="仿宋" w:hAnsi="仿宋" w:eastAsia="仿宋" w:cs="仿宋"/>
          <w:color w:val="auto"/>
          <w:highlight w:val="none"/>
        </w:rPr>
        <w:t>单位的</w:t>
      </w:r>
      <w:r>
        <w:rPr>
          <w:rFonts w:hint="eastAsia" w:ascii="仿宋" w:hAnsi="仿宋" w:eastAsia="仿宋" w:cs="仿宋"/>
          <w:color w:val="auto"/>
          <w:highlight w:val="none"/>
          <w:u w:val="single"/>
        </w:rPr>
        <w:t xml:space="preserve"> (项目名称)</w:t>
      </w:r>
      <w:r>
        <w:rPr>
          <w:rFonts w:hint="eastAsia" w:ascii="仿宋" w:hAnsi="仿宋" w:eastAsia="仿宋" w:cs="仿宋"/>
          <w:color w:val="auto"/>
          <w:highlight w:val="none"/>
        </w:rPr>
        <w:t xml:space="preserve">项目采购活动提供本单位制造的货物(由本单位承担工程/提供服务)，成者提供其他残疾人福利性单位制造的货物(不包括使用非残疾人福利性单位往册商标的货物)。 </w:t>
      </w:r>
    </w:p>
    <w:p w14:paraId="0FB18815">
      <w:pPr>
        <w:pStyle w:val="11"/>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本单位对上述声明的真实性负责，如有虚假，将依法承但相应责任。 </w:t>
      </w:r>
    </w:p>
    <w:p w14:paraId="670945BB">
      <w:pPr>
        <w:pStyle w:val="11"/>
        <w:spacing w:line="460" w:lineRule="exact"/>
        <w:ind w:firstLine="480" w:firstLineChars="200"/>
        <w:rPr>
          <w:rFonts w:hint="eastAsia" w:ascii="仿宋" w:hAnsi="仿宋" w:eastAsia="仿宋" w:cs="仿宋"/>
          <w:color w:val="auto"/>
          <w:highlight w:val="none"/>
        </w:rPr>
      </w:pPr>
    </w:p>
    <w:p w14:paraId="21D3618C">
      <w:pPr>
        <w:pStyle w:val="11"/>
        <w:spacing w:line="4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投标人名称(盖章)： </w:t>
      </w:r>
    </w:p>
    <w:p w14:paraId="5024F481">
      <w:pPr>
        <w:pStyle w:val="11"/>
        <w:spacing w:line="460" w:lineRule="exact"/>
        <w:rPr>
          <w:rFonts w:hint="eastAsia" w:ascii="仿宋" w:hAnsi="仿宋" w:eastAsia="仿宋" w:cs="仿宋"/>
          <w:color w:val="auto"/>
          <w:highlight w:val="none"/>
        </w:rPr>
      </w:pPr>
    </w:p>
    <w:p w14:paraId="31CCDFC6">
      <w:pPr>
        <w:snapToGrid w:val="0"/>
        <w:spacing w:beforeLines="50" w:after="50" w:line="46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6E5F3F2A">
      <w:pPr>
        <w:pStyle w:val="22"/>
        <w:rPr>
          <w:rFonts w:hint="eastAsia" w:ascii="仿宋" w:hAnsi="仿宋" w:eastAsia="仿宋" w:cs="仿宋"/>
          <w:color w:val="auto"/>
          <w:sz w:val="24"/>
          <w:highlight w:val="none"/>
        </w:rPr>
      </w:pPr>
    </w:p>
    <w:p w14:paraId="23162763">
      <w:pPr>
        <w:rPr>
          <w:rFonts w:hint="eastAsia" w:ascii="仿宋" w:hAnsi="仿宋" w:eastAsia="仿宋" w:cs="仿宋"/>
          <w:color w:val="auto"/>
          <w:sz w:val="24"/>
          <w:highlight w:val="none"/>
        </w:rPr>
      </w:pPr>
    </w:p>
    <w:p w14:paraId="63FD2F19">
      <w:pPr>
        <w:pStyle w:val="22"/>
        <w:rPr>
          <w:rFonts w:hint="eastAsia" w:ascii="仿宋" w:hAnsi="仿宋" w:eastAsia="仿宋" w:cs="仿宋"/>
          <w:color w:val="auto"/>
          <w:sz w:val="24"/>
          <w:highlight w:val="none"/>
        </w:rPr>
      </w:pPr>
    </w:p>
    <w:p w14:paraId="2935BBFA">
      <w:pPr>
        <w:rPr>
          <w:rFonts w:hint="eastAsia" w:ascii="仿宋" w:hAnsi="仿宋" w:eastAsia="仿宋" w:cs="仿宋"/>
          <w:color w:val="auto"/>
          <w:sz w:val="24"/>
          <w:highlight w:val="none"/>
        </w:rPr>
      </w:pPr>
    </w:p>
    <w:p w14:paraId="3F3A5684">
      <w:pPr>
        <w:pStyle w:val="22"/>
        <w:rPr>
          <w:rFonts w:hint="eastAsia" w:ascii="仿宋" w:hAnsi="仿宋" w:eastAsia="仿宋" w:cs="仿宋"/>
          <w:color w:val="auto"/>
          <w:sz w:val="24"/>
          <w:highlight w:val="none"/>
        </w:rPr>
      </w:pPr>
    </w:p>
    <w:p w14:paraId="5702FABF">
      <w:pPr>
        <w:rPr>
          <w:rFonts w:hint="eastAsia" w:ascii="仿宋" w:hAnsi="仿宋" w:eastAsia="仿宋" w:cs="仿宋"/>
          <w:color w:val="auto"/>
          <w:sz w:val="24"/>
          <w:highlight w:val="none"/>
        </w:rPr>
      </w:pPr>
    </w:p>
    <w:p w14:paraId="78F251E7">
      <w:pPr>
        <w:pStyle w:val="22"/>
        <w:rPr>
          <w:rFonts w:hint="eastAsia" w:ascii="仿宋" w:hAnsi="仿宋" w:eastAsia="仿宋" w:cs="仿宋"/>
          <w:color w:val="auto"/>
          <w:sz w:val="24"/>
          <w:highlight w:val="none"/>
        </w:rPr>
      </w:pPr>
    </w:p>
    <w:p w14:paraId="057EF34E">
      <w:pPr>
        <w:rPr>
          <w:rFonts w:hint="eastAsia" w:ascii="仿宋" w:hAnsi="仿宋" w:eastAsia="仿宋" w:cs="仿宋"/>
          <w:color w:val="auto"/>
          <w:sz w:val="24"/>
          <w:highlight w:val="none"/>
        </w:rPr>
      </w:pPr>
    </w:p>
    <w:p w14:paraId="3FBDAAFF">
      <w:pPr>
        <w:pStyle w:val="22"/>
        <w:rPr>
          <w:rFonts w:hint="eastAsia" w:ascii="仿宋" w:hAnsi="仿宋" w:eastAsia="仿宋" w:cs="仿宋"/>
          <w:color w:val="auto"/>
          <w:sz w:val="24"/>
          <w:highlight w:val="none"/>
        </w:rPr>
      </w:pPr>
    </w:p>
    <w:p w14:paraId="4425FCAF">
      <w:pPr>
        <w:rPr>
          <w:rFonts w:hint="eastAsia" w:ascii="仿宋" w:hAnsi="仿宋" w:eastAsia="仿宋" w:cs="仿宋"/>
          <w:color w:val="auto"/>
          <w:sz w:val="24"/>
          <w:highlight w:val="none"/>
        </w:rPr>
      </w:pPr>
    </w:p>
    <w:p w14:paraId="5E7E96DB">
      <w:pPr>
        <w:pStyle w:val="22"/>
        <w:rPr>
          <w:rFonts w:hint="eastAsia" w:ascii="仿宋" w:hAnsi="仿宋" w:eastAsia="仿宋" w:cs="仿宋"/>
          <w:color w:val="auto"/>
          <w:sz w:val="24"/>
          <w:highlight w:val="none"/>
        </w:rPr>
      </w:pPr>
    </w:p>
    <w:p w14:paraId="1DBDD8AB">
      <w:pPr>
        <w:rPr>
          <w:rFonts w:hint="eastAsia" w:ascii="仿宋" w:hAnsi="仿宋" w:eastAsia="仿宋" w:cs="仿宋"/>
          <w:color w:val="auto"/>
          <w:sz w:val="24"/>
          <w:highlight w:val="none"/>
        </w:rPr>
      </w:pPr>
    </w:p>
    <w:p w14:paraId="005F7EAE">
      <w:pPr>
        <w:pStyle w:val="22"/>
        <w:rPr>
          <w:rFonts w:hint="eastAsia" w:ascii="仿宋" w:hAnsi="仿宋" w:eastAsia="仿宋" w:cs="仿宋"/>
          <w:color w:val="auto"/>
          <w:sz w:val="24"/>
          <w:highlight w:val="none"/>
        </w:rPr>
      </w:pPr>
    </w:p>
    <w:p w14:paraId="74297A3C">
      <w:pPr>
        <w:rPr>
          <w:rFonts w:hint="eastAsia" w:ascii="仿宋" w:hAnsi="仿宋" w:eastAsia="仿宋" w:cs="仿宋"/>
          <w:color w:val="auto"/>
          <w:sz w:val="24"/>
          <w:highlight w:val="none"/>
        </w:rPr>
      </w:pPr>
    </w:p>
    <w:p w14:paraId="7D56491A">
      <w:pPr>
        <w:pStyle w:val="22"/>
        <w:rPr>
          <w:rFonts w:hint="eastAsia" w:ascii="仿宋" w:hAnsi="仿宋" w:eastAsia="仿宋" w:cs="仿宋"/>
          <w:color w:val="auto"/>
          <w:sz w:val="24"/>
          <w:highlight w:val="none"/>
        </w:rPr>
      </w:pPr>
    </w:p>
    <w:p w14:paraId="59796789">
      <w:pPr>
        <w:rPr>
          <w:rFonts w:hint="eastAsia" w:ascii="仿宋" w:hAnsi="仿宋" w:eastAsia="仿宋" w:cs="仿宋"/>
          <w:color w:val="auto"/>
          <w:sz w:val="24"/>
          <w:highlight w:val="none"/>
        </w:rPr>
      </w:pPr>
    </w:p>
    <w:p w14:paraId="167B7BEC">
      <w:pPr>
        <w:pStyle w:val="22"/>
        <w:rPr>
          <w:rFonts w:hint="eastAsia" w:ascii="仿宋" w:hAnsi="仿宋" w:eastAsia="仿宋" w:cs="仿宋"/>
          <w:color w:val="auto"/>
          <w:sz w:val="24"/>
          <w:highlight w:val="none"/>
        </w:rPr>
      </w:pPr>
    </w:p>
    <w:p w14:paraId="1E2B56E6">
      <w:pPr>
        <w:rPr>
          <w:rFonts w:hint="eastAsia" w:ascii="仿宋" w:hAnsi="仿宋" w:eastAsia="仿宋" w:cs="仿宋"/>
          <w:color w:val="auto"/>
          <w:sz w:val="24"/>
          <w:highlight w:val="none"/>
        </w:rPr>
      </w:pPr>
    </w:p>
    <w:p w14:paraId="1BC7AB0C">
      <w:pPr>
        <w:pStyle w:val="22"/>
        <w:rPr>
          <w:rFonts w:hint="eastAsia" w:ascii="仿宋" w:hAnsi="仿宋" w:eastAsia="仿宋" w:cs="仿宋"/>
          <w:color w:val="auto"/>
          <w:sz w:val="24"/>
          <w:highlight w:val="none"/>
        </w:rPr>
      </w:pPr>
    </w:p>
    <w:p w14:paraId="388C7018">
      <w:pPr>
        <w:rPr>
          <w:rFonts w:hint="eastAsia" w:ascii="仿宋" w:hAnsi="仿宋" w:eastAsia="仿宋" w:cs="仿宋"/>
          <w:color w:val="auto"/>
          <w:sz w:val="24"/>
          <w:highlight w:val="none"/>
        </w:rPr>
      </w:pPr>
    </w:p>
    <w:p w14:paraId="3AFD8AD4">
      <w:pPr>
        <w:pStyle w:val="22"/>
        <w:rPr>
          <w:rFonts w:hint="eastAsia"/>
          <w:color w:val="auto"/>
          <w:highlight w:val="none"/>
        </w:rPr>
      </w:pPr>
    </w:p>
    <w:p w14:paraId="393FE2F3">
      <w:pPr>
        <w:pStyle w:val="11"/>
        <w:spacing w:line="460" w:lineRule="exact"/>
        <w:jc w:val="center"/>
        <w:outlineLvl w:val="9"/>
        <w:rPr>
          <w:rFonts w:hint="eastAsia" w:ascii="仿宋" w:hAnsi="仿宋" w:eastAsia="仿宋" w:cs="仿宋"/>
          <w:b/>
          <w:color w:val="auto"/>
          <w:kern w:val="2"/>
          <w:sz w:val="28"/>
          <w:szCs w:val="28"/>
          <w:highlight w:val="none"/>
          <w:lang w:val="en-US" w:eastAsia="zh-CN" w:bidi="ar-SA"/>
        </w:rPr>
      </w:pPr>
    </w:p>
    <w:p w14:paraId="1A112FC0">
      <w:pPr>
        <w:pStyle w:val="11"/>
        <w:spacing w:line="460" w:lineRule="exact"/>
        <w:jc w:val="center"/>
        <w:outlineLvl w:val="1"/>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8.投标人自评分索引表</w:t>
      </w:r>
    </w:p>
    <w:p w14:paraId="05C25EA7">
      <w:pPr>
        <w:snapToGrid w:val="0"/>
        <w:spacing w:beforeLines="50" w:after="50" w:line="46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投标人全称（公章）：</w:t>
      </w:r>
    </w:p>
    <w:tbl>
      <w:tblPr>
        <w:tblStyle w:val="24"/>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835"/>
        <w:gridCol w:w="1329"/>
        <w:gridCol w:w="2181"/>
      </w:tblGrid>
      <w:tr w14:paraId="5F160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7C578416">
            <w:pPr>
              <w:snapToGrid w:val="0"/>
              <w:spacing w:beforeLines="50" w:after="50" w:line="4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评分项目</w:t>
            </w:r>
          </w:p>
        </w:tc>
        <w:tc>
          <w:tcPr>
            <w:tcW w:w="2835" w:type="dxa"/>
            <w:vAlign w:val="center"/>
          </w:tcPr>
          <w:p w14:paraId="70D7E346">
            <w:pPr>
              <w:snapToGrid w:val="0"/>
              <w:spacing w:beforeLines="50" w:after="50" w:line="4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投标文件对应资料</w:t>
            </w:r>
          </w:p>
        </w:tc>
        <w:tc>
          <w:tcPr>
            <w:tcW w:w="1329" w:type="dxa"/>
            <w:vAlign w:val="center"/>
          </w:tcPr>
          <w:p w14:paraId="43437ADD">
            <w:pPr>
              <w:snapToGrid w:val="0"/>
              <w:spacing w:beforeLines="50" w:after="50" w:line="4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自评分</w:t>
            </w:r>
          </w:p>
        </w:tc>
        <w:tc>
          <w:tcPr>
            <w:tcW w:w="2181" w:type="dxa"/>
            <w:vAlign w:val="center"/>
          </w:tcPr>
          <w:p w14:paraId="5DC3E49C">
            <w:pPr>
              <w:snapToGrid w:val="0"/>
              <w:spacing w:beforeLines="50" w:after="50" w:line="4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投标文件页码</w:t>
            </w:r>
          </w:p>
        </w:tc>
      </w:tr>
      <w:tr w14:paraId="04C56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5135CD4E">
            <w:pPr>
              <w:snapToGrid w:val="0"/>
              <w:spacing w:beforeLines="50" w:after="50" w:line="4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对应第四章评</w:t>
            </w:r>
            <w:r>
              <w:rPr>
                <w:rFonts w:hint="eastAsia" w:ascii="仿宋" w:hAnsi="仿宋" w:eastAsia="仿宋" w:cs="仿宋"/>
                <w:color w:val="auto"/>
                <w:sz w:val="24"/>
                <w:highlight w:val="none"/>
                <w:lang w:val="en-US" w:eastAsia="zh-CN"/>
              </w:rPr>
              <w:t>标</w:t>
            </w:r>
            <w:r>
              <w:rPr>
                <w:rFonts w:hint="eastAsia" w:ascii="仿宋" w:hAnsi="仿宋" w:eastAsia="仿宋" w:cs="仿宋"/>
                <w:color w:val="auto"/>
                <w:sz w:val="24"/>
                <w:highlight w:val="none"/>
              </w:rPr>
              <w:t>办法及评分标准（报价除外）</w:t>
            </w:r>
          </w:p>
        </w:tc>
        <w:tc>
          <w:tcPr>
            <w:tcW w:w="2835" w:type="dxa"/>
            <w:vAlign w:val="center"/>
          </w:tcPr>
          <w:p w14:paraId="2E089BF8">
            <w:pPr>
              <w:snapToGrid w:val="0"/>
              <w:spacing w:beforeLines="50" w:after="50" w:line="460" w:lineRule="exact"/>
              <w:jc w:val="center"/>
              <w:rPr>
                <w:rFonts w:hint="eastAsia" w:ascii="仿宋" w:hAnsi="仿宋" w:eastAsia="仿宋" w:cs="仿宋"/>
                <w:color w:val="auto"/>
                <w:sz w:val="24"/>
                <w:highlight w:val="none"/>
              </w:rPr>
            </w:pPr>
          </w:p>
        </w:tc>
        <w:tc>
          <w:tcPr>
            <w:tcW w:w="1329" w:type="dxa"/>
            <w:vAlign w:val="center"/>
          </w:tcPr>
          <w:p w14:paraId="04D1CCFF">
            <w:pPr>
              <w:snapToGrid w:val="0"/>
              <w:spacing w:beforeLines="50" w:after="50" w:line="460" w:lineRule="exact"/>
              <w:jc w:val="center"/>
              <w:rPr>
                <w:rFonts w:hint="eastAsia" w:ascii="仿宋" w:hAnsi="仿宋" w:eastAsia="仿宋" w:cs="仿宋"/>
                <w:color w:val="auto"/>
                <w:sz w:val="24"/>
                <w:highlight w:val="none"/>
              </w:rPr>
            </w:pPr>
          </w:p>
        </w:tc>
        <w:tc>
          <w:tcPr>
            <w:tcW w:w="2181" w:type="dxa"/>
            <w:vAlign w:val="center"/>
          </w:tcPr>
          <w:p w14:paraId="57158009">
            <w:pPr>
              <w:snapToGrid w:val="0"/>
              <w:spacing w:beforeLines="50" w:after="50" w:line="460" w:lineRule="exact"/>
              <w:jc w:val="center"/>
              <w:rPr>
                <w:rFonts w:hint="eastAsia" w:ascii="仿宋" w:hAnsi="仿宋" w:eastAsia="仿宋" w:cs="仿宋"/>
                <w:color w:val="auto"/>
                <w:sz w:val="24"/>
                <w:highlight w:val="none"/>
              </w:rPr>
            </w:pPr>
          </w:p>
        </w:tc>
      </w:tr>
      <w:tr w14:paraId="73477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7198FB4D">
            <w:pPr>
              <w:snapToGrid w:val="0"/>
              <w:spacing w:beforeLines="50" w:after="50" w:line="4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2835" w:type="dxa"/>
            <w:vAlign w:val="center"/>
          </w:tcPr>
          <w:p w14:paraId="32EA18D8">
            <w:pPr>
              <w:snapToGrid w:val="0"/>
              <w:spacing w:beforeLines="50" w:after="50" w:line="460" w:lineRule="exact"/>
              <w:jc w:val="center"/>
              <w:rPr>
                <w:rFonts w:hint="eastAsia" w:ascii="仿宋" w:hAnsi="仿宋" w:eastAsia="仿宋" w:cs="仿宋"/>
                <w:color w:val="auto"/>
                <w:sz w:val="24"/>
                <w:highlight w:val="none"/>
              </w:rPr>
            </w:pPr>
          </w:p>
        </w:tc>
        <w:tc>
          <w:tcPr>
            <w:tcW w:w="1329" w:type="dxa"/>
            <w:vAlign w:val="center"/>
          </w:tcPr>
          <w:p w14:paraId="54233D06">
            <w:pPr>
              <w:snapToGrid w:val="0"/>
              <w:spacing w:beforeLines="50" w:after="50" w:line="460" w:lineRule="exact"/>
              <w:jc w:val="center"/>
              <w:rPr>
                <w:rFonts w:hint="eastAsia" w:ascii="仿宋" w:hAnsi="仿宋" w:eastAsia="仿宋" w:cs="仿宋"/>
                <w:color w:val="auto"/>
                <w:sz w:val="24"/>
                <w:highlight w:val="none"/>
              </w:rPr>
            </w:pPr>
          </w:p>
        </w:tc>
        <w:tc>
          <w:tcPr>
            <w:tcW w:w="2181" w:type="dxa"/>
            <w:vAlign w:val="center"/>
          </w:tcPr>
          <w:p w14:paraId="3A07020E">
            <w:pPr>
              <w:snapToGrid w:val="0"/>
              <w:spacing w:beforeLines="50" w:after="50" w:line="460" w:lineRule="exact"/>
              <w:jc w:val="center"/>
              <w:rPr>
                <w:rFonts w:hint="eastAsia" w:ascii="仿宋" w:hAnsi="仿宋" w:eastAsia="仿宋" w:cs="仿宋"/>
                <w:color w:val="auto"/>
                <w:sz w:val="24"/>
                <w:highlight w:val="none"/>
              </w:rPr>
            </w:pPr>
          </w:p>
        </w:tc>
      </w:tr>
      <w:tr w14:paraId="53C00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3F88B9CE">
            <w:pPr>
              <w:snapToGrid w:val="0"/>
              <w:spacing w:beforeLines="50" w:after="50" w:line="460" w:lineRule="exact"/>
              <w:jc w:val="center"/>
              <w:rPr>
                <w:rFonts w:hint="eastAsia" w:ascii="仿宋" w:hAnsi="仿宋" w:eastAsia="仿宋" w:cs="仿宋"/>
                <w:color w:val="auto"/>
                <w:sz w:val="24"/>
                <w:highlight w:val="none"/>
              </w:rPr>
            </w:pPr>
          </w:p>
        </w:tc>
        <w:tc>
          <w:tcPr>
            <w:tcW w:w="2835" w:type="dxa"/>
            <w:vAlign w:val="center"/>
          </w:tcPr>
          <w:p w14:paraId="34960AB5">
            <w:pPr>
              <w:snapToGrid w:val="0"/>
              <w:spacing w:beforeLines="50" w:after="50" w:line="460" w:lineRule="exact"/>
              <w:jc w:val="center"/>
              <w:rPr>
                <w:rFonts w:hint="eastAsia" w:ascii="仿宋" w:hAnsi="仿宋" w:eastAsia="仿宋" w:cs="仿宋"/>
                <w:color w:val="auto"/>
                <w:sz w:val="24"/>
                <w:highlight w:val="none"/>
              </w:rPr>
            </w:pPr>
          </w:p>
        </w:tc>
        <w:tc>
          <w:tcPr>
            <w:tcW w:w="1329" w:type="dxa"/>
            <w:vAlign w:val="center"/>
          </w:tcPr>
          <w:p w14:paraId="4CDF66AE">
            <w:pPr>
              <w:snapToGrid w:val="0"/>
              <w:spacing w:beforeLines="50" w:after="50" w:line="460" w:lineRule="exact"/>
              <w:jc w:val="center"/>
              <w:rPr>
                <w:rFonts w:hint="eastAsia" w:ascii="仿宋" w:hAnsi="仿宋" w:eastAsia="仿宋" w:cs="仿宋"/>
                <w:color w:val="auto"/>
                <w:sz w:val="24"/>
                <w:highlight w:val="none"/>
              </w:rPr>
            </w:pPr>
          </w:p>
        </w:tc>
        <w:tc>
          <w:tcPr>
            <w:tcW w:w="2181" w:type="dxa"/>
            <w:vAlign w:val="center"/>
          </w:tcPr>
          <w:p w14:paraId="27C85F61">
            <w:pPr>
              <w:snapToGrid w:val="0"/>
              <w:spacing w:beforeLines="50" w:after="50" w:line="460" w:lineRule="exact"/>
              <w:jc w:val="center"/>
              <w:rPr>
                <w:rFonts w:hint="eastAsia" w:ascii="仿宋" w:hAnsi="仿宋" w:eastAsia="仿宋" w:cs="仿宋"/>
                <w:color w:val="auto"/>
                <w:sz w:val="24"/>
                <w:highlight w:val="none"/>
              </w:rPr>
            </w:pPr>
          </w:p>
        </w:tc>
      </w:tr>
      <w:tr w14:paraId="067BF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347687E6">
            <w:pPr>
              <w:snapToGrid w:val="0"/>
              <w:spacing w:beforeLines="50" w:after="50" w:line="460" w:lineRule="exact"/>
              <w:jc w:val="center"/>
              <w:rPr>
                <w:rFonts w:hint="eastAsia" w:ascii="仿宋" w:hAnsi="仿宋" w:eastAsia="仿宋" w:cs="仿宋"/>
                <w:color w:val="auto"/>
                <w:sz w:val="24"/>
                <w:highlight w:val="none"/>
              </w:rPr>
            </w:pPr>
          </w:p>
        </w:tc>
        <w:tc>
          <w:tcPr>
            <w:tcW w:w="2835" w:type="dxa"/>
            <w:vAlign w:val="center"/>
          </w:tcPr>
          <w:p w14:paraId="4C0F6E06">
            <w:pPr>
              <w:snapToGrid w:val="0"/>
              <w:spacing w:beforeLines="50" w:after="50" w:line="460" w:lineRule="exact"/>
              <w:jc w:val="center"/>
              <w:rPr>
                <w:rFonts w:hint="eastAsia" w:ascii="仿宋" w:hAnsi="仿宋" w:eastAsia="仿宋" w:cs="仿宋"/>
                <w:color w:val="auto"/>
                <w:sz w:val="24"/>
                <w:highlight w:val="none"/>
              </w:rPr>
            </w:pPr>
          </w:p>
        </w:tc>
        <w:tc>
          <w:tcPr>
            <w:tcW w:w="1329" w:type="dxa"/>
            <w:vAlign w:val="center"/>
          </w:tcPr>
          <w:p w14:paraId="24841F89">
            <w:pPr>
              <w:snapToGrid w:val="0"/>
              <w:spacing w:beforeLines="50" w:after="50" w:line="460" w:lineRule="exact"/>
              <w:jc w:val="center"/>
              <w:rPr>
                <w:rFonts w:hint="eastAsia" w:ascii="仿宋" w:hAnsi="仿宋" w:eastAsia="仿宋" w:cs="仿宋"/>
                <w:color w:val="auto"/>
                <w:sz w:val="24"/>
                <w:highlight w:val="none"/>
              </w:rPr>
            </w:pPr>
          </w:p>
        </w:tc>
        <w:tc>
          <w:tcPr>
            <w:tcW w:w="2181" w:type="dxa"/>
            <w:vAlign w:val="center"/>
          </w:tcPr>
          <w:p w14:paraId="5100F27A">
            <w:pPr>
              <w:snapToGrid w:val="0"/>
              <w:spacing w:beforeLines="50" w:after="50" w:line="460" w:lineRule="exact"/>
              <w:jc w:val="center"/>
              <w:rPr>
                <w:rFonts w:hint="eastAsia" w:ascii="仿宋" w:hAnsi="仿宋" w:eastAsia="仿宋" w:cs="仿宋"/>
                <w:color w:val="auto"/>
                <w:sz w:val="24"/>
                <w:highlight w:val="none"/>
              </w:rPr>
            </w:pPr>
          </w:p>
        </w:tc>
      </w:tr>
      <w:tr w14:paraId="24739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41D5DC75">
            <w:pPr>
              <w:snapToGrid w:val="0"/>
              <w:spacing w:beforeLines="50" w:after="50" w:line="460" w:lineRule="exact"/>
              <w:jc w:val="center"/>
              <w:rPr>
                <w:rFonts w:hint="eastAsia" w:ascii="仿宋" w:hAnsi="仿宋" w:eastAsia="仿宋" w:cs="仿宋"/>
                <w:color w:val="auto"/>
                <w:sz w:val="24"/>
                <w:highlight w:val="none"/>
              </w:rPr>
            </w:pPr>
          </w:p>
        </w:tc>
        <w:tc>
          <w:tcPr>
            <w:tcW w:w="2835" w:type="dxa"/>
            <w:vAlign w:val="center"/>
          </w:tcPr>
          <w:p w14:paraId="2D2E1B10">
            <w:pPr>
              <w:snapToGrid w:val="0"/>
              <w:spacing w:beforeLines="50" w:after="50" w:line="460" w:lineRule="exact"/>
              <w:jc w:val="center"/>
              <w:rPr>
                <w:rFonts w:hint="eastAsia" w:ascii="仿宋" w:hAnsi="仿宋" w:eastAsia="仿宋" w:cs="仿宋"/>
                <w:color w:val="auto"/>
                <w:sz w:val="24"/>
                <w:highlight w:val="none"/>
              </w:rPr>
            </w:pPr>
          </w:p>
        </w:tc>
        <w:tc>
          <w:tcPr>
            <w:tcW w:w="1329" w:type="dxa"/>
            <w:vAlign w:val="center"/>
          </w:tcPr>
          <w:p w14:paraId="6F2473DC">
            <w:pPr>
              <w:snapToGrid w:val="0"/>
              <w:spacing w:beforeLines="50" w:after="50" w:line="460" w:lineRule="exact"/>
              <w:jc w:val="center"/>
              <w:rPr>
                <w:rFonts w:hint="eastAsia" w:ascii="仿宋" w:hAnsi="仿宋" w:eastAsia="仿宋" w:cs="仿宋"/>
                <w:color w:val="auto"/>
                <w:sz w:val="24"/>
                <w:highlight w:val="none"/>
              </w:rPr>
            </w:pPr>
          </w:p>
        </w:tc>
        <w:tc>
          <w:tcPr>
            <w:tcW w:w="2181" w:type="dxa"/>
            <w:vAlign w:val="center"/>
          </w:tcPr>
          <w:p w14:paraId="7B15F366">
            <w:pPr>
              <w:snapToGrid w:val="0"/>
              <w:spacing w:beforeLines="50" w:after="50" w:line="460" w:lineRule="exact"/>
              <w:jc w:val="center"/>
              <w:rPr>
                <w:rFonts w:hint="eastAsia" w:ascii="仿宋" w:hAnsi="仿宋" w:eastAsia="仿宋" w:cs="仿宋"/>
                <w:color w:val="auto"/>
                <w:sz w:val="24"/>
                <w:highlight w:val="none"/>
              </w:rPr>
            </w:pPr>
          </w:p>
        </w:tc>
      </w:tr>
      <w:tr w14:paraId="52A45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26D1F77E">
            <w:pPr>
              <w:snapToGrid w:val="0"/>
              <w:spacing w:beforeLines="50" w:after="50" w:line="460" w:lineRule="exact"/>
              <w:jc w:val="center"/>
              <w:rPr>
                <w:rFonts w:hint="eastAsia" w:ascii="仿宋" w:hAnsi="仿宋" w:eastAsia="仿宋" w:cs="仿宋"/>
                <w:color w:val="auto"/>
                <w:sz w:val="24"/>
                <w:highlight w:val="none"/>
              </w:rPr>
            </w:pPr>
          </w:p>
        </w:tc>
        <w:tc>
          <w:tcPr>
            <w:tcW w:w="2835" w:type="dxa"/>
            <w:vAlign w:val="center"/>
          </w:tcPr>
          <w:p w14:paraId="5599F5AC">
            <w:pPr>
              <w:snapToGrid w:val="0"/>
              <w:spacing w:beforeLines="50" w:after="50" w:line="460" w:lineRule="exact"/>
              <w:jc w:val="center"/>
              <w:rPr>
                <w:rFonts w:hint="eastAsia" w:ascii="仿宋" w:hAnsi="仿宋" w:eastAsia="仿宋" w:cs="仿宋"/>
                <w:color w:val="auto"/>
                <w:sz w:val="24"/>
                <w:highlight w:val="none"/>
              </w:rPr>
            </w:pPr>
          </w:p>
        </w:tc>
        <w:tc>
          <w:tcPr>
            <w:tcW w:w="1329" w:type="dxa"/>
            <w:vAlign w:val="center"/>
          </w:tcPr>
          <w:p w14:paraId="23AAF407">
            <w:pPr>
              <w:snapToGrid w:val="0"/>
              <w:spacing w:beforeLines="50" w:after="50" w:line="460" w:lineRule="exact"/>
              <w:jc w:val="center"/>
              <w:rPr>
                <w:rFonts w:hint="eastAsia" w:ascii="仿宋" w:hAnsi="仿宋" w:eastAsia="仿宋" w:cs="仿宋"/>
                <w:color w:val="auto"/>
                <w:sz w:val="24"/>
                <w:highlight w:val="none"/>
              </w:rPr>
            </w:pPr>
          </w:p>
        </w:tc>
        <w:tc>
          <w:tcPr>
            <w:tcW w:w="2181" w:type="dxa"/>
            <w:vAlign w:val="center"/>
          </w:tcPr>
          <w:p w14:paraId="07F4B0F5">
            <w:pPr>
              <w:snapToGrid w:val="0"/>
              <w:spacing w:beforeLines="50" w:after="50" w:line="460" w:lineRule="exact"/>
              <w:jc w:val="center"/>
              <w:rPr>
                <w:rFonts w:hint="eastAsia" w:ascii="仿宋" w:hAnsi="仿宋" w:eastAsia="仿宋" w:cs="仿宋"/>
                <w:color w:val="auto"/>
                <w:sz w:val="24"/>
                <w:highlight w:val="none"/>
              </w:rPr>
            </w:pPr>
          </w:p>
        </w:tc>
      </w:tr>
    </w:tbl>
    <w:p w14:paraId="1FCC861E">
      <w:pPr>
        <w:snapToGrid w:val="0"/>
        <w:spacing w:beforeLines="50" w:after="50" w:line="460" w:lineRule="exact"/>
        <w:jc w:val="left"/>
        <w:rPr>
          <w:rFonts w:hint="eastAsia" w:ascii="仿宋" w:hAnsi="仿宋" w:eastAsia="仿宋" w:cs="仿宋"/>
          <w:color w:val="auto"/>
          <w:sz w:val="24"/>
          <w:highlight w:val="none"/>
        </w:rPr>
      </w:pPr>
    </w:p>
    <w:p w14:paraId="172F03EE">
      <w:pPr>
        <w:snapToGrid w:val="0"/>
        <w:spacing w:beforeLines="50" w:after="50" w:line="460" w:lineRule="exact"/>
        <w:jc w:val="left"/>
        <w:rPr>
          <w:rFonts w:hint="eastAsia" w:ascii="仿宋" w:hAnsi="仿宋" w:eastAsia="仿宋" w:cs="仿宋"/>
          <w:color w:val="auto"/>
          <w:sz w:val="24"/>
          <w:highlight w:val="none"/>
        </w:rPr>
      </w:pPr>
    </w:p>
    <w:p w14:paraId="5BEBAA1A">
      <w:pPr>
        <w:snapToGrid w:val="0"/>
        <w:spacing w:beforeLines="50" w:after="50" w:line="46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734C9613">
      <w:pPr>
        <w:snapToGrid w:val="0"/>
        <w:spacing w:beforeLines="50" w:after="50" w:line="460" w:lineRule="exact"/>
        <w:jc w:val="left"/>
        <w:rPr>
          <w:rFonts w:hint="eastAsia" w:ascii="仿宋" w:hAnsi="仿宋" w:eastAsia="仿宋" w:cs="仿宋"/>
          <w:color w:val="auto"/>
          <w:sz w:val="24"/>
          <w:highlight w:val="none"/>
        </w:rPr>
      </w:pPr>
    </w:p>
    <w:p w14:paraId="523C79F2">
      <w:pPr>
        <w:snapToGrid w:val="0"/>
        <w:spacing w:beforeLines="50" w:after="50" w:line="46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2A7F4303">
      <w:pPr>
        <w:pStyle w:val="13"/>
        <w:ind w:left="0"/>
        <w:jc w:val="left"/>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1BBF1CDB">
      <w:pPr>
        <w:pStyle w:val="11"/>
        <w:pageBreakBefore/>
        <w:jc w:val="center"/>
        <w:outlineLvl w:val="1"/>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9.项目人员配置一览表</w:t>
      </w:r>
    </w:p>
    <w:p w14:paraId="2BE72DB7">
      <w:pPr>
        <w:numPr>
          <w:ilvl w:val="0"/>
          <w:numId w:val="0"/>
        </w:numPr>
        <w:spacing w:line="600" w:lineRule="exact"/>
        <w:jc w:val="both"/>
        <w:outlineLvl w:val="9"/>
        <w:rPr>
          <w:rFonts w:hint="eastAsia" w:ascii="仿宋" w:hAnsi="仿宋" w:eastAsia="仿宋" w:cs="仿宋"/>
          <w:b/>
          <w:bCs/>
          <w:color w:val="auto"/>
          <w:sz w:val="32"/>
          <w:szCs w:val="32"/>
          <w:highlight w:val="none"/>
          <w:lang w:val="en-US" w:eastAsia="zh-CN"/>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全称（加盖公章）：</w:t>
      </w:r>
    </w:p>
    <w:tbl>
      <w:tblPr>
        <w:tblStyle w:val="24"/>
        <w:tblW w:w="9811"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40"/>
        <w:gridCol w:w="1127"/>
        <w:gridCol w:w="1049"/>
        <w:gridCol w:w="1013"/>
        <w:gridCol w:w="980"/>
        <w:gridCol w:w="925"/>
        <w:gridCol w:w="1354"/>
        <w:gridCol w:w="1263"/>
        <w:gridCol w:w="1260"/>
      </w:tblGrid>
      <w:tr w14:paraId="77D1FD9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898" w:hRule="atLeast"/>
          <w:jc w:val="center"/>
        </w:trPr>
        <w:tc>
          <w:tcPr>
            <w:tcW w:w="840" w:type="dxa"/>
            <w:tcBorders>
              <w:top w:val="single" w:color="auto" w:sz="12" w:space="0"/>
              <w:left w:val="single" w:color="auto" w:sz="12" w:space="0"/>
              <w:bottom w:val="single" w:color="auto" w:sz="4" w:space="0"/>
              <w:right w:val="single" w:color="auto" w:sz="4" w:space="0"/>
            </w:tcBorders>
            <w:noWrap w:val="0"/>
            <w:vAlign w:val="center"/>
          </w:tcPr>
          <w:p w14:paraId="0FDF6AEE">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127" w:type="dxa"/>
            <w:tcBorders>
              <w:top w:val="single" w:color="auto" w:sz="12" w:space="0"/>
              <w:left w:val="single" w:color="auto" w:sz="4" w:space="0"/>
              <w:bottom w:val="single" w:color="auto" w:sz="4" w:space="0"/>
              <w:right w:val="single" w:color="auto" w:sz="4" w:space="0"/>
            </w:tcBorders>
            <w:noWrap w:val="0"/>
            <w:vAlign w:val="center"/>
          </w:tcPr>
          <w:p w14:paraId="18139B10">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049" w:type="dxa"/>
            <w:tcBorders>
              <w:top w:val="single" w:color="auto" w:sz="12" w:space="0"/>
              <w:left w:val="single" w:color="auto" w:sz="4" w:space="0"/>
              <w:bottom w:val="single" w:color="auto" w:sz="4" w:space="0"/>
              <w:right w:val="single" w:color="auto" w:sz="4" w:space="0"/>
            </w:tcBorders>
            <w:noWrap w:val="0"/>
            <w:vAlign w:val="center"/>
          </w:tcPr>
          <w:p w14:paraId="0D1A5126">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013" w:type="dxa"/>
            <w:tcBorders>
              <w:top w:val="single" w:color="auto" w:sz="12" w:space="0"/>
              <w:left w:val="single" w:color="auto" w:sz="4" w:space="0"/>
              <w:bottom w:val="single" w:color="auto" w:sz="4" w:space="0"/>
              <w:right w:val="single" w:color="auto" w:sz="4" w:space="0"/>
            </w:tcBorders>
            <w:noWrap w:val="0"/>
            <w:vAlign w:val="center"/>
          </w:tcPr>
          <w:p w14:paraId="58966F7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性别</w:t>
            </w:r>
          </w:p>
        </w:tc>
        <w:tc>
          <w:tcPr>
            <w:tcW w:w="980" w:type="dxa"/>
            <w:tcBorders>
              <w:top w:val="single" w:color="auto" w:sz="12" w:space="0"/>
              <w:left w:val="single" w:color="auto" w:sz="4" w:space="0"/>
              <w:bottom w:val="single" w:color="auto" w:sz="4" w:space="0"/>
              <w:right w:val="single" w:color="auto" w:sz="4" w:space="0"/>
            </w:tcBorders>
            <w:noWrap w:val="0"/>
            <w:vAlign w:val="center"/>
          </w:tcPr>
          <w:p w14:paraId="3E2A105F">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925" w:type="dxa"/>
            <w:tcBorders>
              <w:top w:val="single" w:color="auto" w:sz="12" w:space="0"/>
              <w:left w:val="single" w:color="auto" w:sz="4" w:space="0"/>
              <w:bottom w:val="single" w:color="auto" w:sz="4" w:space="0"/>
              <w:right w:val="single" w:color="auto" w:sz="4" w:space="0"/>
            </w:tcBorders>
            <w:noWrap w:val="0"/>
            <w:vAlign w:val="center"/>
          </w:tcPr>
          <w:p w14:paraId="7B053610">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专业</w:t>
            </w:r>
          </w:p>
        </w:tc>
        <w:tc>
          <w:tcPr>
            <w:tcW w:w="1354" w:type="dxa"/>
            <w:tcBorders>
              <w:top w:val="single" w:color="auto" w:sz="12" w:space="0"/>
              <w:left w:val="single" w:color="auto" w:sz="4" w:space="0"/>
              <w:bottom w:val="single" w:color="auto" w:sz="4" w:space="0"/>
              <w:right w:val="single" w:color="auto" w:sz="4" w:space="0"/>
            </w:tcBorders>
            <w:noWrap w:val="0"/>
            <w:vAlign w:val="center"/>
          </w:tcPr>
          <w:p w14:paraId="5C25AF5A">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注册证书及编号</w:t>
            </w:r>
          </w:p>
        </w:tc>
        <w:tc>
          <w:tcPr>
            <w:tcW w:w="1263" w:type="dxa"/>
            <w:tcBorders>
              <w:top w:val="single" w:color="auto" w:sz="12" w:space="0"/>
              <w:left w:val="single" w:color="auto" w:sz="4" w:space="0"/>
              <w:bottom w:val="single" w:color="auto" w:sz="4" w:space="0"/>
              <w:right w:val="single" w:color="auto" w:sz="4" w:space="0"/>
            </w:tcBorders>
            <w:noWrap w:val="0"/>
            <w:vAlign w:val="center"/>
          </w:tcPr>
          <w:p w14:paraId="782BE611">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技术职称</w:t>
            </w:r>
          </w:p>
        </w:tc>
        <w:tc>
          <w:tcPr>
            <w:tcW w:w="1260" w:type="dxa"/>
            <w:tcBorders>
              <w:top w:val="single" w:color="auto" w:sz="12" w:space="0"/>
              <w:left w:val="single" w:color="auto" w:sz="4" w:space="0"/>
              <w:bottom w:val="single" w:color="auto" w:sz="4" w:space="0"/>
              <w:right w:val="single" w:color="auto" w:sz="12" w:space="0"/>
            </w:tcBorders>
            <w:noWrap w:val="0"/>
            <w:vAlign w:val="center"/>
          </w:tcPr>
          <w:p w14:paraId="612D5B5F">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拟任职务</w:t>
            </w:r>
          </w:p>
        </w:tc>
      </w:tr>
      <w:tr w14:paraId="458F8D0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40BA3758">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E11416B">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0C72EE65">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454E0140">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00165AC0">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48BD65CC">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5D19A428">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0398F73F">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0A76459D">
            <w:pPr>
              <w:spacing w:line="360" w:lineRule="auto"/>
              <w:jc w:val="center"/>
              <w:rPr>
                <w:rFonts w:hint="eastAsia" w:ascii="仿宋" w:hAnsi="仿宋" w:eastAsia="仿宋" w:cs="仿宋"/>
                <w:color w:val="auto"/>
                <w:sz w:val="24"/>
                <w:highlight w:val="none"/>
              </w:rPr>
            </w:pPr>
          </w:p>
        </w:tc>
      </w:tr>
      <w:tr w14:paraId="28FDEA7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2EBAA4E3">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12DEBE9">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4ABB70F2">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8BD2A92">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7E61FDC7">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45A3E767">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4E6A0AC9">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6D802EE6">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5721B264">
            <w:pPr>
              <w:spacing w:line="360" w:lineRule="auto"/>
              <w:jc w:val="center"/>
              <w:rPr>
                <w:rFonts w:hint="eastAsia" w:ascii="仿宋" w:hAnsi="仿宋" w:eastAsia="仿宋" w:cs="仿宋"/>
                <w:color w:val="auto"/>
                <w:sz w:val="24"/>
                <w:highlight w:val="none"/>
              </w:rPr>
            </w:pPr>
          </w:p>
        </w:tc>
      </w:tr>
      <w:tr w14:paraId="0176291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634DA754">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193C293">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DC28E33">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18AA308">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6FA10599">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002A5D0A">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06F9CB20">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3E384EFD">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684FCAC8">
            <w:pPr>
              <w:spacing w:line="360" w:lineRule="auto"/>
              <w:jc w:val="center"/>
              <w:rPr>
                <w:rFonts w:hint="eastAsia" w:ascii="仿宋" w:hAnsi="仿宋" w:eastAsia="仿宋" w:cs="仿宋"/>
                <w:color w:val="auto"/>
                <w:sz w:val="24"/>
                <w:highlight w:val="none"/>
              </w:rPr>
            </w:pPr>
          </w:p>
        </w:tc>
      </w:tr>
      <w:tr w14:paraId="1EAFB6E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48F03861">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03C307D">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32EF0A5">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B3CB17C">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624FC9F2">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60B2E6D0">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10C83FFC">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5FBB7346">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4D68EEB7">
            <w:pPr>
              <w:spacing w:line="360" w:lineRule="auto"/>
              <w:jc w:val="center"/>
              <w:rPr>
                <w:rFonts w:hint="eastAsia" w:ascii="仿宋" w:hAnsi="仿宋" w:eastAsia="仿宋" w:cs="仿宋"/>
                <w:color w:val="auto"/>
                <w:sz w:val="24"/>
                <w:highlight w:val="none"/>
              </w:rPr>
            </w:pPr>
          </w:p>
        </w:tc>
      </w:tr>
      <w:tr w14:paraId="7EB5CE5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38550A14">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674FACB">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65B02E8F">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B7666EB">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5DC67B84">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0FE4CC2F">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5DFC6778">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3F978660">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56521A56">
            <w:pPr>
              <w:spacing w:line="360" w:lineRule="auto"/>
              <w:jc w:val="center"/>
              <w:rPr>
                <w:rFonts w:hint="eastAsia" w:ascii="仿宋" w:hAnsi="仿宋" w:eastAsia="仿宋" w:cs="仿宋"/>
                <w:color w:val="auto"/>
                <w:sz w:val="24"/>
                <w:highlight w:val="none"/>
              </w:rPr>
            </w:pPr>
          </w:p>
        </w:tc>
      </w:tr>
      <w:tr w14:paraId="5240D0C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03571A92">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80A455E">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805830F">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2208D16B">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72ABE483">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445D48CA">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36B8A390">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0D7B2D98">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5CED7B00">
            <w:pPr>
              <w:spacing w:line="360" w:lineRule="auto"/>
              <w:jc w:val="center"/>
              <w:rPr>
                <w:rFonts w:hint="eastAsia" w:ascii="仿宋" w:hAnsi="仿宋" w:eastAsia="仿宋" w:cs="仿宋"/>
                <w:color w:val="auto"/>
                <w:sz w:val="24"/>
                <w:highlight w:val="none"/>
              </w:rPr>
            </w:pPr>
          </w:p>
        </w:tc>
      </w:tr>
      <w:tr w14:paraId="3B51013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0E14ABA3">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8725922">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6F2BA5BF">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7B1CE20E">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61B51B9A">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267B67E5">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16B03B98">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1C028F4E">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2A33BFCE">
            <w:pPr>
              <w:spacing w:line="360" w:lineRule="auto"/>
              <w:jc w:val="center"/>
              <w:rPr>
                <w:rFonts w:hint="eastAsia" w:ascii="仿宋" w:hAnsi="仿宋" w:eastAsia="仿宋" w:cs="仿宋"/>
                <w:color w:val="auto"/>
                <w:sz w:val="24"/>
                <w:highlight w:val="none"/>
              </w:rPr>
            </w:pPr>
          </w:p>
        </w:tc>
      </w:tr>
      <w:tr w14:paraId="010202C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12A6ADE7">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D88CA38">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66122C0D">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26D7B442">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6253B2CD">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5D8CC14C">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209BEEC7">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1ACA063E">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47702EEE">
            <w:pPr>
              <w:spacing w:line="360" w:lineRule="auto"/>
              <w:jc w:val="center"/>
              <w:rPr>
                <w:rFonts w:hint="eastAsia" w:ascii="仿宋" w:hAnsi="仿宋" w:eastAsia="仿宋" w:cs="仿宋"/>
                <w:color w:val="auto"/>
                <w:sz w:val="24"/>
                <w:highlight w:val="none"/>
              </w:rPr>
            </w:pPr>
          </w:p>
        </w:tc>
      </w:tr>
      <w:tr w14:paraId="2F60895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73F8610C">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5503E51">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480F15AA">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738784B6">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25D30D89">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46601908">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2810412F">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7EFFDA1D">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1D76AD8A">
            <w:pPr>
              <w:spacing w:line="360" w:lineRule="auto"/>
              <w:jc w:val="center"/>
              <w:rPr>
                <w:rFonts w:hint="eastAsia" w:ascii="仿宋" w:hAnsi="仿宋" w:eastAsia="仿宋" w:cs="仿宋"/>
                <w:color w:val="auto"/>
                <w:sz w:val="24"/>
                <w:highlight w:val="none"/>
              </w:rPr>
            </w:pPr>
          </w:p>
        </w:tc>
      </w:tr>
      <w:tr w14:paraId="5091172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33D14EA4">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9B1240F">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1B37AF75">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5778D728">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27FEA21E">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7DF0F216">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29AB8C48">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6722868A">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00850B11">
            <w:pPr>
              <w:spacing w:line="360" w:lineRule="auto"/>
              <w:jc w:val="center"/>
              <w:rPr>
                <w:rFonts w:hint="eastAsia" w:ascii="仿宋" w:hAnsi="仿宋" w:eastAsia="仿宋" w:cs="仿宋"/>
                <w:color w:val="auto"/>
                <w:sz w:val="24"/>
                <w:highlight w:val="none"/>
              </w:rPr>
            </w:pPr>
          </w:p>
        </w:tc>
      </w:tr>
      <w:tr w14:paraId="7892E51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25D6BCB5">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39A5A8E">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78627A0">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197EEDD2">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3F722C0B">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606E867C">
            <w:pPr>
              <w:spacing w:line="360" w:lineRule="auto"/>
              <w:jc w:val="center"/>
              <w:rPr>
                <w:rFonts w:hint="eastAsia" w:ascii="仿宋" w:hAnsi="仿宋" w:eastAsia="仿宋" w:cs="仿宋"/>
                <w:color w:val="auto"/>
                <w:sz w:val="24"/>
                <w:highlight w:val="none"/>
              </w:rPr>
            </w:pPr>
          </w:p>
        </w:tc>
        <w:tc>
          <w:tcPr>
            <w:tcW w:w="1354" w:type="dxa"/>
            <w:tcBorders>
              <w:top w:val="single" w:color="auto" w:sz="4" w:space="0"/>
              <w:left w:val="single" w:color="auto" w:sz="4" w:space="0"/>
              <w:bottom w:val="single" w:color="auto" w:sz="4" w:space="0"/>
              <w:right w:val="single" w:color="auto" w:sz="4" w:space="0"/>
            </w:tcBorders>
            <w:noWrap w:val="0"/>
            <w:vAlign w:val="top"/>
          </w:tcPr>
          <w:p w14:paraId="350AC66A">
            <w:pPr>
              <w:spacing w:line="360" w:lineRule="auto"/>
              <w:jc w:val="center"/>
              <w:rPr>
                <w:rFonts w:hint="eastAsia" w:ascii="仿宋" w:hAnsi="仿宋" w:eastAsia="仿宋" w:cs="仿宋"/>
                <w:color w:val="auto"/>
                <w:sz w:val="24"/>
                <w:highlight w:val="none"/>
              </w:rPr>
            </w:pPr>
          </w:p>
        </w:tc>
        <w:tc>
          <w:tcPr>
            <w:tcW w:w="1263" w:type="dxa"/>
            <w:tcBorders>
              <w:top w:val="single" w:color="auto" w:sz="4" w:space="0"/>
              <w:left w:val="single" w:color="auto" w:sz="4" w:space="0"/>
              <w:bottom w:val="single" w:color="auto" w:sz="4" w:space="0"/>
              <w:right w:val="single" w:color="auto" w:sz="4" w:space="0"/>
            </w:tcBorders>
            <w:noWrap w:val="0"/>
            <w:vAlign w:val="center"/>
          </w:tcPr>
          <w:p w14:paraId="56FF9970">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019F27F2">
            <w:pPr>
              <w:spacing w:line="360" w:lineRule="auto"/>
              <w:jc w:val="center"/>
              <w:rPr>
                <w:rFonts w:hint="eastAsia" w:ascii="仿宋" w:hAnsi="仿宋" w:eastAsia="仿宋" w:cs="仿宋"/>
                <w:color w:val="auto"/>
                <w:sz w:val="24"/>
                <w:highlight w:val="none"/>
              </w:rPr>
            </w:pPr>
          </w:p>
        </w:tc>
      </w:tr>
    </w:tbl>
    <w:p w14:paraId="653EFF72">
      <w:pPr>
        <w:adjustRightInd w:val="0"/>
        <w:snapToGrid w:val="0"/>
        <w:spacing w:line="360" w:lineRule="auto"/>
        <w:rPr>
          <w:rFonts w:hint="eastAsia" w:ascii="仿宋" w:hAnsi="仿宋" w:eastAsia="仿宋" w:cs="仿宋"/>
          <w:color w:val="auto"/>
          <w:sz w:val="24"/>
          <w:highlight w:val="none"/>
        </w:rPr>
      </w:pPr>
    </w:p>
    <w:p w14:paraId="3959B184">
      <w:pPr>
        <w:snapToGrid w:val="0"/>
        <w:spacing w:beforeLines="50" w:after="50"/>
        <w:jc w:val="left"/>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注：</w:t>
      </w:r>
      <w:r>
        <w:rPr>
          <w:rFonts w:hint="eastAsia" w:ascii="仿宋" w:hAnsi="仿宋" w:eastAsia="仿宋" w:cs="仿宋"/>
          <w:b/>
          <w:color w:val="auto"/>
          <w:sz w:val="24"/>
          <w:highlight w:val="none"/>
        </w:rPr>
        <w:t>此表仅提供了表格形式，投标人应根据需要准备足够数量的表格来填写</w:t>
      </w:r>
      <w:r>
        <w:rPr>
          <w:rFonts w:hint="eastAsia" w:ascii="仿宋" w:hAnsi="仿宋" w:eastAsia="仿宋" w:cs="仿宋"/>
          <w:b/>
          <w:color w:val="auto"/>
          <w:sz w:val="24"/>
          <w:highlight w:val="none"/>
          <w:lang w:eastAsia="zh-CN"/>
        </w:rPr>
        <w:t>。</w:t>
      </w:r>
    </w:p>
    <w:p w14:paraId="0D98CE7D">
      <w:pPr>
        <w:spacing w:line="360" w:lineRule="auto"/>
        <w:rPr>
          <w:rFonts w:hint="eastAsia" w:ascii="仿宋" w:hAnsi="仿宋" w:eastAsia="仿宋" w:cs="仿宋"/>
          <w:color w:val="auto"/>
          <w:sz w:val="24"/>
          <w:highlight w:val="none"/>
        </w:rPr>
      </w:pPr>
    </w:p>
    <w:p w14:paraId="748BCA5C">
      <w:pPr>
        <w:widowControl/>
        <w:jc w:val="left"/>
        <w:rPr>
          <w:rFonts w:hint="eastAsia" w:ascii="仿宋" w:hAnsi="仿宋" w:eastAsia="仿宋" w:cs="仿宋"/>
          <w:color w:val="auto"/>
          <w:kern w:val="0"/>
          <w:sz w:val="24"/>
          <w:highlight w:val="none"/>
        </w:rPr>
      </w:pPr>
    </w:p>
    <w:p w14:paraId="66DDBFED">
      <w:pPr>
        <w:widowControl/>
        <w:jc w:val="left"/>
        <w:rPr>
          <w:rFonts w:hint="eastAsia" w:ascii="仿宋" w:hAnsi="仿宋" w:eastAsia="仿宋" w:cs="仿宋"/>
          <w:color w:val="auto"/>
          <w:kern w:val="0"/>
          <w:sz w:val="24"/>
          <w:highlight w:val="none"/>
        </w:rPr>
      </w:pPr>
    </w:p>
    <w:p w14:paraId="206937E9">
      <w:pPr>
        <w:widowControl/>
        <w:jc w:val="left"/>
        <w:rPr>
          <w:rFonts w:hint="eastAsia" w:ascii="仿宋" w:hAnsi="仿宋" w:eastAsia="仿宋" w:cs="仿宋"/>
          <w:color w:val="auto"/>
          <w:kern w:val="0"/>
          <w:sz w:val="24"/>
          <w:highlight w:val="none"/>
        </w:rPr>
      </w:pPr>
    </w:p>
    <w:p w14:paraId="4703B15A">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eastAsia="zh-CN"/>
        </w:rPr>
        <w:t>字</w:t>
      </w:r>
      <w:r>
        <w:rPr>
          <w:rFonts w:hint="eastAsia" w:ascii="仿宋" w:hAnsi="仿宋" w:eastAsia="仿宋" w:cs="仿宋"/>
          <w:color w:val="auto"/>
          <w:sz w:val="24"/>
          <w:highlight w:val="none"/>
        </w:rPr>
        <w:t>或盖章：</w:t>
      </w:r>
    </w:p>
    <w:p w14:paraId="0894D8A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18954C67">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日期：     年  月  日</w:t>
      </w:r>
    </w:p>
    <w:p w14:paraId="6FF61E2D">
      <w:pPr>
        <w:spacing w:after="156" w:afterLines="50" w:line="500" w:lineRule="exact"/>
        <w:jc w:val="center"/>
        <w:rPr>
          <w:rFonts w:hint="eastAsia" w:ascii="仿宋" w:hAnsi="仿宋" w:eastAsia="仿宋" w:cs="仿宋"/>
          <w:color w:val="auto"/>
          <w:kern w:val="0"/>
          <w:sz w:val="24"/>
          <w:highlight w:val="none"/>
          <w:u w:val="none"/>
        </w:rPr>
      </w:pPr>
    </w:p>
    <w:p w14:paraId="7D902DB7">
      <w:pPr>
        <w:spacing w:after="156" w:afterLines="50" w:line="500" w:lineRule="exact"/>
        <w:jc w:val="both"/>
        <w:rPr>
          <w:rFonts w:hint="eastAsia" w:ascii="仿宋" w:hAnsi="仿宋" w:eastAsia="仿宋" w:cs="仿宋"/>
          <w:color w:val="auto"/>
          <w:kern w:val="0"/>
          <w:sz w:val="24"/>
          <w:highlight w:val="none"/>
          <w:u w:val="none"/>
        </w:rPr>
      </w:pPr>
    </w:p>
    <w:p w14:paraId="1EDC3547">
      <w:pPr>
        <w:pStyle w:val="11"/>
        <w:pageBreakBefore/>
        <w:jc w:val="center"/>
        <w:outlineLvl w:val="1"/>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10.商务响应表</w:t>
      </w:r>
    </w:p>
    <w:p w14:paraId="4C2CDC03">
      <w:pPr>
        <w:pStyle w:val="11"/>
        <w:spacing w:line="4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投标人全称（加盖公章）： </w:t>
      </w:r>
    </w:p>
    <w:p w14:paraId="32DCD2C8">
      <w:pPr>
        <w:spacing w:line="460" w:lineRule="exact"/>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项目编号：</w:t>
      </w:r>
    </w:p>
    <w:p w14:paraId="53F53CCB">
      <w:pPr>
        <w:spacing w:line="460" w:lineRule="exact"/>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项目名称：</w:t>
      </w:r>
    </w:p>
    <w:tbl>
      <w:tblPr>
        <w:tblStyle w:val="24"/>
        <w:tblW w:w="867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54"/>
        <w:gridCol w:w="2177"/>
        <w:gridCol w:w="1905"/>
        <w:gridCol w:w="2042"/>
      </w:tblGrid>
      <w:tr w14:paraId="0CBDC7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2554" w:type="dxa"/>
            <w:tcBorders>
              <w:top w:val="single" w:color="auto" w:sz="4" w:space="0"/>
              <w:left w:val="single" w:color="auto" w:sz="4" w:space="0"/>
              <w:bottom w:val="single" w:color="auto" w:sz="4" w:space="0"/>
              <w:right w:val="single" w:color="auto" w:sz="4" w:space="0"/>
            </w:tcBorders>
            <w:noWrap w:val="0"/>
            <w:vAlign w:val="center"/>
          </w:tcPr>
          <w:p w14:paraId="0572864D">
            <w:pPr>
              <w:snapToGrid w:val="0"/>
              <w:spacing w:before="120" w:beforeLines="50"/>
              <w:jc w:val="center"/>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项目</w:t>
            </w:r>
          </w:p>
        </w:tc>
        <w:tc>
          <w:tcPr>
            <w:tcW w:w="2177" w:type="dxa"/>
            <w:tcBorders>
              <w:top w:val="single" w:color="auto" w:sz="4" w:space="0"/>
              <w:left w:val="single" w:color="auto" w:sz="4" w:space="0"/>
              <w:bottom w:val="single" w:color="auto" w:sz="4" w:space="0"/>
              <w:right w:val="single" w:color="auto" w:sz="4" w:space="0"/>
            </w:tcBorders>
            <w:noWrap w:val="0"/>
            <w:vAlign w:val="center"/>
          </w:tcPr>
          <w:p w14:paraId="3E2BE415">
            <w:pPr>
              <w:snapToGrid w:val="0"/>
              <w:spacing w:before="120" w:beforeLines="50"/>
              <w:jc w:val="center"/>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招标文件要求</w:t>
            </w:r>
          </w:p>
        </w:tc>
        <w:tc>
          <w:tcPr>
            <w:tcW w:w="1905" w:type="dxa"/>
            <w:tcBorders>
              <w:top w:val="single" w:color="auto" w:sz="4" w:space="0"/>
              <w:left w:val="single" w:color="auto" w:sz="4" w:space="0"/>
              <w:bottom w:val="single" w:color="auto" w:sz="4" w:space="0"/>
              <w:right w:val="single" w:color="auto" w:sz="4" w:space="0"/>
            </w:tcBorders>
            <w:noWrap w:val="0"/>
            <w:vAlign w:val="center"/>
          </w:tcPr>
          <w:p w14:paraId="128C8E56">
            <w:pPr>
              <w:snapToGrid w:val="0"/>
              <w:spacing w:before="120" w:beforeLines="50"/>
              <w:jc w:val="center"/>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是否响应</w:t>
            </w:r>
          </w:p>
        </w:tc>
        <w:tc>
          <w:tcPr>
            <w:tcW w:w="2042" w:type="dxa"/>
            <w:tcBorders>
              <w:top w:val="single" w:color="auto" w:sz="4" w:space="0"/>
              <w:left w:val="single" w:color="auto" w:sz="4" w:space="0"/>
              <w:bottom w:val="single" w:color="auto" w:sz="4" w:space="0"/>
              <w:right w:val="single" w:color="auto" w:sz="4" w:space="0"/>
            </w:tcBorders>
            <w:noWrap w:val="0"/>
            <w:vAlign w:val="center"/>
          </w:tcPr>
          <w:p w14:paraId="36222F21">
            <w:pPr>
              <w:snapToGrid w:val="0"/>
              <w:spacing w:before="120" w:beforeLines="50"/>
              <w:jc w:val="center"/>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供应商的承诺或说明或优化方案</w:t>
            </w:r>
          </w:p>
        </w:tc>
      </w:tr>
      <w:tr w14:paraId="45D9F4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2554" w:type="dxa"/>
            <w:tcBorders>
              <w:top w:val="single" w:color="auto" w:sz="4" w:space="0"/>
              <w:left w:val="single" w:color="auto" w:sz="4" w:space="0"/>
              <w:bottom w:val="single" w:color="auto" w:sz="4" w:space="0"/>
              <w:right w:val="single" w:color="auto" w:sz="4" w:space="0"/>
            </w:tcBorders>
            <w:noWrap w:val="0"/>
            <w:vAlign w:val="center"/>
          </w:tcPr>
          <w:p w14:paraId="496384F4">
            <w:pPr>
              <w:spacing w:line="480" w:lineRule="exact"/>
              <w:jc w:val="center"/>
              <w:rPr>
                <w:rFonts w:hint="default" w:ascii="仿宋" w:hAnsi="仿宋" w:eastAsia="仿宋" w:cs="仿宋"/>
                <w:b w:val="0"/>
                <w:bCs/>
                <w:color w:val="auto"/>
                <w:sz w:val="24"/>
                <w:szCs w:val="20"/>
                <w:highlight w:val="none"/>
                <w:lang w:val="en-US" w:eastAsia="zh-CN"/>
              </w:rPr>
            </w:pPr>
            <w:r>
              <w:rPr>
                <w:rFonts w:hint="eastAsia" w:ascii="仿宋" w:hAnsi="仿宋" w:eastAsia="仿宋" w:cs="仿宋"/>
                <w:color w:val="auto"/>
                <w:sz w:val="24"/>
                <w:highlight w:val="none"/>
              </w:rPr>
              <w:t>服务期</w:t>
            </w:r>
          </w:p>
        </w:tc>
        <w:tc>
          <w:tcPr>
            <w:tcW w:w="2177" w:type="dxa"/>
            <w:tcBorders>
              <w:top w:val="single" w:color="auto" w:sz="4" w:space="0"/>
              <w:left w:val="single" w:color="auto" w:sz="4" w:space="0"/>
              <w:bottom w:val="single" w:color="auto" w:sz="4" w:space="0"/>
              <w:right w:val="single" w:color="auto" w:sz="4" w:space="0"/>
            </w:tcBorders>
            <w:noWrap w:val="0"/>
            <w:vAlign w:val="center"/>
          </w:tcPr>
          <w:p w14:paraId="37B36ED2">
            <w:pPr>
              <w:snapToGrid w:val="0"/>
              <w:jc w:val="center"/>
              <w:rPr>
                <w:rFonts w:hint="eastAsia" w:ascii="仿宋" w:hAnsi="仿宋" w:eastAsia="仿宋" w:cs="仿宋"/>
                <w:color w:val="auto"/>
                <w:sz w:val="24"/>
                <w:highlight w:val="none"/>
              </w:rPr>
            </w:pPr>
          </w:p>
        </w:tc>
        <w:tc>
          <w:tcPr>
            <w:tcW w:w="1905" w:type="dxa"/>
            <w:tcBorders>
              <w:top w:val="single" w:color="auto" w:sz="4" w:space="0"/>
              <w:left w:val="single" w:color="auto" w:sz="4" w:space="0"/>
              <w:bottom w:val="single" w:color="auto" w:sz="4" w:space="0"/>
              <w:right w:val="single" w:color="auto" w:sz="4" w:space="0"/>
            </w:tcBorders>
            <w:noWrap w:val="0"/>
            <w:vAlign w:val="center"/>
          </w:tcPr>
          <w:p w14:paraId="2A2FEA15">
            <w:pPr>
              <w:snapToGrid w:val="0"/>
              <w:spacing w:before="120" w:beforeLines="50"/>
              <w:jc w:val="center"/>
              <w:rPr>
                <w:rFonts w:hint="eastAsia" w:ascii="仿宋" w:hAnsi="仿宋" w:eastAsia="仿宋" w:cs="仿宋"/>
                <w:color w:val="auto"/>
                <w:sz w:val="24"/>
                <w:szCs w:val="20"/>
                <w:highlight w:val="none"/>
              </w:rPr>
            </w:pPr>
          </w:p>
        </w:tc>
        <w:tc>
          <w:tcPr>
            <w:tcW w:w="2042" w:type="dxa"/>
            <w:tcBorders>
              <w:top w:val="single" w:color="auto" w:sz="4" w:space="0"/>
              <w:left w:val="single" w:color="auto" w:sz="4" w:space="0"/>
              <w:bottom w:val="single" w:color="auto" w:sz="4" w:space="0"/>
              <w:right w:val="single" w:color="auto" w:sz="4" w:space="0"/>
            </w:tcBorders>
            <w:noWrap w:val="0"/>
            <w:vAlign w:val="center"/>
          </w:tcPr>
          <w:p w14:paraId="216B46DA">
            <w:pPr>
              <w:snapToGrid w:val="0"/>
              <w:spacing w:before="120" w:beforeLines="50"/>
              <w:jc w:val="center"/>
              <w:rPr>
                <w:rFonts w:hint="eastAsia" w:ascii="仿宋" w:hAnsi="仿宋" w:eastAsia="仿宋" w:cs="仿宋"/>
                <w:color w:val="auto"/>
                <w:sz w:val="24"/>
                <w:szCs w:val="20"/>
                <w:highlight w:val="none"/>
              </w:rPr>
            </w:pPr>
          </w:p>
        </w:tc>
      </w:tr>
      <w:tr w14:paraId="00884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2554" w:type="dxa"/>
            <w:tcBorders>
              <w:top w:val="single" w:color="auto" w:sz="4" w:space="0"/>
              <w:left w:val="single" w:color="auto" w:sz="4" w:space="0"/>
              <w:bottom w:val="single" w:color="auto" w:sz="4" w:space="0"/>
              <w:right w:val="single" w:color="auto" w:sz="4" w:space="0"/>
            </w:tcBorders>
            <w:noWrap w:val="0"/>
            <w:vAlign w:val="center"/>
          </w:tcPr>
          <w:p w14:paraId="55E61D29">
            <w:pPr>
              <w:snapToGrid w:val="0"/>
              <w:jc w:val="center"/>
              <w:rPr>
                <w:rFonts w:hint="eastAsia" w:ascii="仿宋" w:hAnsi="仿宋" w:eastAsia="仿宋" w:cs="仿宋"/>
                <w:b w:val="0"/>
                <w:bCs/>
                <w:color w:val="auto"/>
                <w:sz w:val="24"/>
                <w:szCs w:val="20"/>
                <w:highlight w:val="none"/>
                <w:lang w:eastAsia="zh-CN"/>
              </w:rPr>
            </w:pPr>
            <w:r>
              <w:rPr>
                <w:rFonts w:hint="eastAsia" w:ascii="仿宋" w:hAnsi="仿宋" w:eastAsia="仿宋" w:cs="仿宋"/>
                <w:color w:val="auto"/>
                <w:sz w:val="24"/>
                <w:highlight w:val="none"/>
                <w:lang w:eastAsia="zh-CN"/>
              </w:rPr>
              <w:t>质保期</w:t>
            </w:r>
          </w:p>
        </w:tc>
        <w:tc>
          <w:tcPr>
            <w:tcW w:w="2177" w:type="dxa"/>
            <w:tcBorders>
              <w:top w:val="single" w:color="auto" w:sz="4" w:space="0"/>
              <w:left w:val="single" w:color="auto" w:sz="4" w:space="0"/>
              <w:bottom w:val="single" w:color="auto" w:sz="4" w:space="0"/>
              <w:right w:val="single" w:color="auto" w:sz="4" w:space="0"/>
            </w:tcBorders>
            <w:noWrap w:val="0"/>
            <w:vAlign w:val="center"/>
          </w:tcPr>
          <w:p w14:paraId="4C094B4A">
            <w:pPr>
              <w:snapToGrid w:val="0"/>
              <w:jc w:val="center"/>
              <w:rPr>
                <w:rFonts w:hint="eastAsia" w:ascii="仿宋" w:hAnsi="仿宋" w:eastAsia="仿宋" w:cs="仿宋"/>
                <w:color w:val="auto"/>
                <w:sz w:val="24"/>
                <w:highlight w:val="none"/>
              </w:rPr>
            </w:pPr>
          </w:p>
        </w:tc>
        <w:tc>
          <w:tcPr>
            <w:tcW w:w="1905" w:type="dxa"/>
            <w:tcBorders>
              <w:top w:val="single" w:color="auto" w:sz="4" w:space="0"/>
              <w:left w:val="single" w:color="auto" w:sz="4" w:space="0"/>
              <w:bottom w:val="single" w:color="auto" w:sz="4" w:space="0"/>
              <w:right w:val="single" w:color="auto" w:sz="4" w:space="0"/>
            </w:tcBorders>
            <w:noWrap w:val="0"/>
            <w:vAlign w:val="center"/>
          </w:tcPr>
          <w:p w14:paraId="16FE8E3B">
            <w:pPr>
              <w:snapToGrid w:val="0"/>
              <w:spacing w:before="120" w:beforeLines="50"/>
              <w:ind w:left="43"/>
              <w:jc w:val="center"/>
              <w:rPr>
                <w:rFonts w:hint="eastAsia" w:ascii="仿宋" w:hAnsi="仿宋" w:eastAsia="仿宋" w:cs="仿宋"/>
                <w:color w:val="auto"/>
                <w:sz w:val="24"/>
                <w:szCs w:val="20"/>
                <w:highlight w:val="none"/>
              </w:rPr>
            </w:pPr>
          </w:p>
        </w:tc>
        <w:tc>
          <w:tcPr>
            <w:tcW w:w="2042" w:type="dxa"/>
            <w:tcBorders>
              <w:top w:val="single" w:color="auto" w:sz="4" w:space="0"/>
              <w:left w:val="single" w:color="auto" w:sz="4" w:space="0"/>
              <w:bottom w:val="single" w:color="auto" w:sz="4" w:space="0"/>
              <w:right w:val="single" w:color="auto" w:sz="4" w:space="0"/>
            </w:tcBorders>
            <w:noWrap w:val="0"/>
            <w:vAlign w:val="center"/>
          </w:tcPr>
          <w:p w14:paraId="75120D5D">
            <w:pPr>
              <w:snapToGrid w:val="0"/>
              <w:spacing w:before="120" w:beforeLines="50"/>
              <w:ind w:left="43"/>
              <w:jc w:val="center"/>
              <w:rPr>
                <w:rFonts w:hint="eastAsia" w:ascii="仿宋" w:hAnsi="仿宋" w:eastAsia="仿宋" w:cs="仿宋"/>
                <w:color w:val="auto"/>
                <w:sz w:val="24"/>
                <w:szCs w:val="20"/>
                <w:highlight w:val="none"/>
              </w:rPr>
            </w:pPr>
          </w:p>
        </w:tc>
      </w:tr>
      <w:tr w14:paraId="51C684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946" w:hRule="atLeast"/>
        </w:trPr>
        <w:tc>
          <w:tcPr>
            <w:tcW w:w="2554" w:type="dxa"/>
            <w:tcBorders>
              <w:top w:val="single" w:color="auto" w:sz="4" w:space="0"/>
              <w:left w:val="single" w:color="auto" w:sz="4" w:space="0"/>
              <w:bottom w:val="single" w:color="auto" w:sz="4" w:space="0"/>
              <w:right w:val="single" w:color="auto" w:sz="4" w:space="0"/>
            </w:tcBorders>
            <w:noWrap w:val="0"/>
            <w:vAlign w:val="center"/>
          </w:tcPr>
          <w:p w14:paraId="700B2C20">
            <w:pPr>
              <w:spacing w:line="480" w:lineRule="exact"/>
              <w:jc w:val="center"/>
              <w:rPr>
                <w:rFonts w:hint="default" w:ascii="仿宋" w:hAnsi="仿宋" w:eastAsia="仿宋" w:cs="仿宋"/>
                <w:b w:val="0"/>
                <w:bCs/>
                <w:color w:val="auto"/>
                <w:sz w:val="24"/>
                <w:highlight w:val="none"/>
                <w:lang w:val="en-US" w:eastAsia="zh-CN"/>
              </w:rPr>
            </w:pPr>
            <w:r>
              <w:rPr>
                <w:rFonts w:hint="eastAsia" w:ascii="仿宋" w:hAnsi="仿宋" w:eastAsia="仿宋" w:cs="仿宋"/>
                <w:color w:val="auto"/>
                <w:sz w:val="24"/>
                <w:highlight w:val="none"/>
              </w:rPr>
              <w:t>服务地点</w:t>
            </w:r>
          </w:p>
        </w:tc>
        <w:tc>
          <w:tcPr>
            <w:tcW w:w="2177" w:type="dxa"/>
            <w:tcBorders>
              <w:top w:val="single" w:color="auto" w:sz="4" w:space="0"/>
              <w:left w:val="single" w:color="auto" w:sz="4" w:space="0"/>
              <w:bottom w:val="single" w:color="auto" w:sz="4" w:space="0"/>
              <w:right w:val="single" w:color="auto" w:sz="4" w:space="0"/>
            </w:tcBorders>
            <w:noWrap w:val="0"/>
            <w:vAlign w:val="center"/>
          </w:tcPr>
          <w:p w14:paraId="6B806E33">
            <w:pPr>
              <w:snapToGrid w:val="0"/>
              <w:jc w:val="center"/>
              <w:rPr>
                <w:rFonts w:hint="eastAsia" w:ascii="仿宋" w:hAnsi="仿宋" w:eastAsia="仿宋" w:cs="仿宋"/>
                <w:color w:val="auto"/>
                <w:sz w:val="24"/>
                <w:highlight w:val="none"/>
              </w:rPr>
            </w:pPr>
          </w:p>
        </w:tc>
        <w:tc>
          <w:tcPr>
            <w:tcW w:w="1905" w:type="dxa"/>
            <w:tcBorders>
              <w:top w:val="single" w:color="auto" w:sz="4" w:space="0"/>
              <w:left w:val="single" w:color="auto" w:sz="4" w:space="0"/>
              <w:bottom w:val="single" w:color="auto" w:sz="4" w:space="0"/>
              <w:right w:val="single" w:color="auto" w:sz="4" w:space="0"/>
            </w:tcBorders>
            <w:noWrap w:val="0"/>
            <w:vAlign w:val="center"/>
          </w:tcPr>
          <w:p w14:paraId="6608FB84">
            <w:pPr>
              <w:snapToGrid w:val="0"/>
              <w:spacing w:before="120" w:beforeLines="50"/>
              <w:jc w:val="center"/>
              <w:rPr>
                <w:rFonts w:hint="eastAsia" w:ascii="仿宋" w:hAnsi="仿宋" w:eastAsia="仿宋" w:cs="仿宋"/>
                <w:color w:val="auto"/>
                <w:sz w:val="24"/>
                <w:szCs w:val="20"/>
                <w:highlight w:val="none"/>
              </w:rPr>
            </w:pPr>
          </w:p>
        </w:tc>
        <w:tc>
          <w:tcPr>
            <w:tcW w:w="2042" w:type="dxa"/>
            <w:tcBorders>
              <w:top w:val="single" w:color="auto" w:sz="4" w:space="0"/>
              <w:left w:val="single" w:color="auto" w:sz="4" w:space="0"/>
              <w:bottom w:val="single" w:color="auto" w:sz="4" w:space="0"/>
              <w:right w:val="single" w:color="auto" w:sz="4" w:space="0"/>
            </w:tcBorders>
            <w:noWrap w:val="0"/>
            <w:vAlign w:val="center"/>
          </w:tcPr>
          <w:p w14:paraId="1060A71F">
            <w:pPr>
              <w:snapToGrid w:val="0"/>
              <w:spacing w:before="120" w:beforeLines="50"/>
              <w:jc w:val="center"/>
              <w:rPr>
                <w:rFonts w:hint="eastAsia" w:ascii="仿宋" w:hAnsi="仿宋" w:eastAsia="仿宋" w:cs="仿宋"/>
                <w:color w:val="auto"/>
                <w:sz w:val="24"/>
                <w:szCs w:val="20"/>
                <w:highlight w:val="none"/>
              </w:rPr>
            </w:pPr>
          </w:p>
        </w:tc>
      </w:tr>
      <w:tr w14:paraId="3FC132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2554" w:type="dxa"/>
            <w:tcBorders>
              <w:top w:val="single" w:color="auto" w:sz="4" w:space="0"/>
              <w:left w:val="single" w:color="auto" w:sz="4" w:space="0"/>
              <w:bottom w:val="single" w:color="auto" w:sz="4" w:space="0"/>
              <w:right w:val="single" w:color="auto" w:sz="4" w:space="0"/>
            </w:tcBorders>
            <w:noWrap w:val="0"/>
            <w:vAlign w:val="center"/>
          </w:tcPr>
          <w:p w14:paraId="7277BEB2">
            <w:pPr>
              <w:snapToGrid w:val="0"/>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履约保证金</w:t>
            </w:r>
          </w:p>
        </w:tc>
        <w:tc>
          <w:tcPr>
            <w:tcW w:w="2177" w:type="dxa"/>
            <w:tcBorders>
              <w:top w:val="single" w:color="auto" w:sz="4" w:space="0"/>
              <w:left w:val="single" w:color="auto" w:sz="4" w:space="0"/>
              <w:bottom w:val="single" w:color="auto" w:sz="4" w:space="0"/>
              <w:right w:val="single" w:color="auto" w:sz="4" w:space="0"/>
            </w:tcBorders>
            <w:noWrap w:val="0"/>
            <w:vAlign w:val="center"/>
          </w:tcPr>
          <w:p w14:paraId="51EF320B">
            <w:pPr>
              <w:snapToGrid w:val="0"/>
              <w:jc w:val="center"/>
              <w:rPr>
                <w:rFonts w:hint="eastAsia" w:ascii="仿宋" w:hAnsi="仿宋" w:eastAsia="仿宋" w:cs="仿宋"/>
                <w:color w:val="auto"/>
                <w:sz w:val="24"/>
                <w:highlight w:val="none"/>
              </w:rPr>
            </w:pPr>
          </w:p>
        </w:tc>
        <w:tc>
          <w:tcPr>
            <w:tcW w:w="1905" w:type="dxa"/>
            <w:tcBorders>
              <w:top w:val="single" w:color="auto" w:sz="4" w:space="0"/>
              <w:left w:val="single" w:color="auto" w:sz="4" w:space="0"/>
              <w:bottom w:val="single" w:color="auto" w:sz="4" w:space="0"/>
              <w:right w:val="single" w:color="auto" w:sz="4" w:space="0"/>
            </w:tcBorders>
            <w:noWrap w:val="0"/>
            <w:vAlign w:val="center"/>
          </w:tcPr>
          <w:p w14:paraId="78DBD743">
            <w:pPr>
              <w:snapToGrid w:val="0"/>
              <w:spacing w:before="120" w:beforeLines="50"/>
              <w:jc w:val="center"/>
              <w:rPr>
                <w:rFonts w:hint="eastAsia" w:ascii="仿宋" w:hAnsi="仿宋" w:eastAsia="仿宋" w:cs="仿宋"/>
                <w:color w:val="auto"/>
                <w:sz w:val="24"/>
                <w:szCs w:val="20"/>
                <w:highlight w:val="none"/>
              </w:rPr>
            </w:pPr>
          </w:p>
        </w:tc>
        <w:tc>
          <w:tcPr>
            <w:tcW w:w="2042" w:type="dxa"/>
            <w:tcBorders>
              <w:top w:val="single" w:color="auto" w:sz="4" w:space="0"/>
              <w:left w:val="single" w:color="auto" w:sz="4" w:space="0"/>
              <w:bottom w:val="single" w:color="auto" w:sz="4" w:space="0"/>
              <w:right w:val="single" w:color="auto" w:sz="4" w:space="0"/>
            </w:tcBorders>
            <w:noWrap w:val="0"/>
            <w:vAlign w:val="center"/>
          </w:tcPr>
          <w:p w14:paraId="0C8D90AA">
            <w:pPr>
              <w:snapToGrid w:val="0"/>
              <w:spacing w:before="120" w:beforeLines="50"/>
              <w:jc w:val="center"/>
              <w:rPr>
                <w:rFonts w:hint="eastAsia" w:ascii="仿宋" w:hAnsi="仿宋" w:eastAsia="仿宋" w:cs="仿宋"/>
                <w:color w:val="auto"/>
                <w:sz w:val="24"/>
                <w:szCs w:val="20"/>
                <w:highlight w:val="none"/>
              </w:rPr>
            </w:pPr>
          </w:p>
        </w:tc>
      </w:tr>
      <w:tr w14:paraId="744E46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2554" w:type="dxa"/>
            <w:tcBorders>
              <w:top w:val="single" w:color="auto" w:sz="4" w:space="0"/>
              <w:left w:val="single" w:color="auto" w:sz="4" w:space="0"/>
              <w:bottom w:val="single" w:color="auto" w:sz="4" w:space="0"/>
              <w:right w:val="single" w:color="auto" w:sz="4" w:space="0"/>
            </w:tcBorders>
            <w:noWrap w:val="0"/>
            <w:vAlign w:val="center"/>
          </w:tcPr>
          <w:p w14:paraId="110E120F">
            <w:pPr>
              <w:snapToGrid w:val="0"/>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付款</w:t>
            </w:r>
            <w:r>
              <w:rPr>
                <w:rFonts w:hint="eastAsia" w:ascii="仿宋" w:hAnsi="仿宋" w:eastAsia="仿宋" w:cs="仿宋"/>
                <w:color w:val="auto"/>
                <w:sz w:val="24"/>
                <w:highlight w:val="none"/>
                <w:lang w:val="en-US" w:eastAsia="zh-CN"/>
              </w:rPr>
              <w:t>方式</w:t>
            </w:r>
          </w:p>
        </w:tc>
        <w:tc>
          <w:tcPr>
            <w:tcW w:w="2177" w:type="dxa"/>
            <w:tcBorders>
              <w:top w:val="single" w:color="auto" w:sz="4" w:space="0"/>
              <w:left w:val="single" w:color="auto" w:sz="4" w:space="0"/>
              <w:bottom w:val="single" w:color="auto" w:sz="4" w:space="0"/>
              <w:right w:val="single" w:color="auto" w:sz="4" w:space="0"/>
            </w:tcBorders>
            <w:noWrap w:val="0"/>
            <w:vAlign w:val="center"/>
          </w:tcPr>
          <w:p w14:paraId="76B9567D">
            <w:pPr>
              <w:snapToGrid w:val="0"/>
              <w:jc w:val="center"/>
              <w:rPr>
                <w:rFonts w:hint="eastAsia" w:ascii="仿宋" w:hAnsi="仿宋" w:eastAsia="仿宋" w:cs="仿宋"/>
                <w:color w:val="auto"/>
                <w:sz w:val="24"/>
                <w:highlight w:val="none"/>
              </w:rPr>
            </w:pPr>
          </w:p>
        </w:tc>
        <w:tc>
          <w:tcPr>
            <w:tcW w:w="1905" w:type="dxa"/>
            <w:tcBorders>
              <w:top w:val="single" w:color="auto" w:sz="4" w:space="0"/>
              <w:left w:val="single" w:color="auto" w:sz="4" w:space="0"/>
              <w:bottom w:val="single" w:color="auto" w:sz="4" w:space="0"/>
              <w:right w:val="single" w:color="auto" w:sz="4" w:space="0"/>
            </w:tcBorders>
            <w:noWrap w:val="0"/>
            <w:vAlign w:val="center"/>
          </w:tcPr>
          <w:p w14:paraId="320CEECC">
            <w:pPr>
              <w:snapToGrid w:val="0"/>
              <w:spacing w:before="120" w:beforeLines="50"/>
              <w:jc w:val="center"/>
              <w:rPr>
                <w:rFonts w:hint="eastAsia" w:ascii="仿宋" w:hAnsi="仿宋" w:eastAsia="仿宋" w:cs="仿宋"/>
                <w:color w:val="auto"/>
                <w:sz w:val="24"/>
                <w:szCs w:val="20"/>
                <w:highlight w:val="none"/>
              </w:rPr>
            </w:pPr>
          </w:p>
        </w:tc>
        <w:tc>
          <w:tcPr>
            <w:tcW w:w="2042" w:type="dxa"/>
            <w:tcBorders>
              <w:top w:val="single" w:color="auto" w:sz="4" w:space="0"/>
              <w:left w:val="single" w:color="auto" w:sz="4" w:space="0"/>
              <w:bottom w:val="single" w:color="auto" w:sz="4" w:space="0"/>
              <w:right w:val="single" w:color="auto" w:sz="4" w:space="0"/>
            </w:tcBorders>
            <w:noWrap w:val="0"/>
            <w:vAlign w:val="center"/>
          </w:tcPr>
          <w:p w14:paraId="561B6080">
            <w:pPr>
              <w:snapToGrid w:val="0"/>
              <w:spacing w:before="120" w:beforeLines="50"/>
              <w:jc w:val="center"/>
              <w:rPr>
                <w:rFonts w:hint="eastAsia" w:ascii="仿宋" w:hAnsi="仿宋" w:eastAsia="仿宋" w:cs="仿宋"/>
                <w:color w:val="auto"/>
                <w:sz w:val="24"/>
                <w:szCs w:val="20"/>
                <w:highlight w:val="none"/>
              </w:rPr>
            </w:pPr>
          </w:p>
        </w:tc>
      </w:tr>
      <w:tr w14:paraId="439349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52" w:hRule="atLeast"/>
        </w:trPr>
        <w:tc>
          <w:tcPr>
            <w:tcW w:w="2554" w:type="dxa"/>
            <w:tcBorders>
              <w:top w:val="single" w:color="auto" w:sz="4" w:space="0"/>
              <w:left w:val="single" w:color="auto" w:sz="4" w:space="0"/>
              <w:bottom w:val="single" w:color="auto" w:sz="4" w:space="0"/>
              <w:right w:val="single" w:color="auto" w:sz="4" w:space="0"/>
            </w:tcBorders>
            <w:noWrap w:val="0"/>
            <w:vAlign w:val="center"/>
          </w:tcPr>
          <w:p w14:paraId="7C884EE3">
            <w:pPr>
              <w:snapToGrid w:val="0"/>
              <w:jc w:val="center"/>
              <w:rPr>
                <w:rFonts w:hint="eastAsia" w:ascii="仿宋" w:hAnsi="仿宋" w:eastAsia="仿宋" w:cs="仿宋"/>
                <w:color w:val="auto"/>
                <w:sz w:val="24"/>
                <w:highlight w:val="none"/>
              </w:rPr>
            </w:pPr>
            <w:r>
              <w:rPr>
                <w:rFonts w:hint="eastAsia" w:ascii="仿宋" w:hAnsi="仿宋" w:eastAsia="仿宋" w:cs="仿宋"/>
                <w:b w:val="0"/>
                <w:bCs w:val="0"/>
                <w:color w:val="auto"/>
                <w:sz w:val="24"/>
                <w:highlight w:val="none"/>
              </w:rPr>
              <w:t>其他要求</w:t>
            </w:r>
          </w:p>
        </w:tc>
        <w:tc>
          <w:tcPr>
            <w:tcW w:w="2177" w:type="dxa"/>
            <w:tcBorders>
              <w:top w:val="single" w:color="auto" w:sz="4" w:space="0"/>
              <w:left w:val="single" w:color="auto" w:sz="4" w:space="0"/>
              <w:bottom w:val="single" w:color="auto" w:sz="4" w:space="0"/>
              <w:right w:val="single" w:color="auto" w:sz="4" w:space="0"/>
            </w:tcBorders>
            <w:noWrap w:val="0"/>
            <w:vAlign w:val="center"/>
          </w:tcPr>
          <w:p w14:paraId="5D6DE219">
            <w:pPr>
              <w:snapToGrid w:val="0"/>
              <w:jc w:val="center"/>
              <w:rPr>
                <w:rFonts w:hint="eastAsia" w:ascii="仿宋" w:hAnsi="仿宋" w:eastAsia="仿宋" w:cs="仿宋"/>
                <w:color w:val="auto"/>
                <w:sz w:val="24"/>
                <w:highlight w:val="none"/>
              </w:rPr>
            </w:pPr>
          </w:p>
        </w:tc>
        <w:tc>
          <w:tcPr>
            <w:tcW w:w="1905" w:type="dxa"/>
            <w:tcBorders>
              <w:top w:val="single" w:color="auto" w:sz="4" w:space="0"/>
              <w:left w:val="single" w:color="auto" w:sz="4" w:space="0"/>
              <w:bottom w:val="single" w:color="auto" w:sz="4" w:space="0"/>
              <w:right w:val="single" w:color="auto" w:sz="4" w:space="0"/>
            </w:tcBorders>
            <w:noWrap w:val="0"/>
            <w:vAlign w:val="center"/>
          </w:tcPr>
          <w:p w14:paraId="790C7872">
            <w:pPr>
              <w:snapToGrid w:val="0"/>
              <w:spacing w:before="120" w:beforeLines="50"/>
              <w:jc w:val="center"/>
              <w:rPr>
                <w:rFonts w:hint="eastAsia" w:ascii="仿宋" w:hAnsi="仿宋" w:eastAsia="仿宋" w:cs="仿宋"/>
                <w:color w:val="auto"/>
                <w:sz w:val="24"/>
                <w:szCs w:val="20"/>
                <w:highlight w:val="none"/>
              </w:rPr>
            </w:pPr>
          </w:p>
        </w:tc>
        <w:tc>
          <w:tcPr>
            <w:tcW w:w="2042" w:type="dxa"/>
            <w:tcBorders>
              <w:top w:val="single" w:color="auto" w:sz="4" w:space="0"/>
              <w:left w:val="single" w:color="auto" w:sz="4" w:space="0"/>
              <w:bottom w:val="single" w:color="auto" w:sz="4" w:space="0"/>
              <w:right w:val="single" w:color="auto" w:sz="4" w:space="0"/>
            </w:tcBorders>
            <w:noWrap w:val="0"/>
            <w:vAlign w:val="center"/>
          </w:tcPr>
          <w:p w14:paraId="021F28C2">
            <w:pPr>
              <w:snapToGrid w:val="0"/>
              <w:spacing w:before="120" w:beforeLines="50"/>
              <w:jc w:val="center"/>
              <w:rPr>
                <w:rFonts w:hint="eastAsia" w:ascii="仿宋" w:hAnsi="仿宋" w:eastAsia="仿宋" w:cs="仿宋"/>
                <w:color w:val="auto"/>
                <w:sz w:val="24"/>
                <w:szCs w:val="20"/>
                <w:highlight w:val="none"/>
              </w:rPr>
            </w:pPr>
          </w:p>
        </w:tc>
      </w:tr>
    </w:tbl>
    <w:p w14:paraId="5F72F73C">
      <w:pPr>
        <w:spacing w:line="460" w:lineRule="exact"/>
        <w:jc w:val="left"/>
        <w:rPr>
          <w:rFonts w:hint="eastAsia" w:ascii="仿宋" w:hAnsi="仿宋" w:eastAsia="仿宋" w:cs="仿宋"/>
          <w:color w:val="auto"/>
          <w:kern w:val="0"/>
          <w:sz w:val="24"/>
          <w:highlight w:val="none"/>
        </w:rPr>
      </w:pPr>
    </w:p>
    <w:p w14:paraId="586F77A5">
      <w:pPr>
        <w:snapToGrid w:val="0"/>
        <w:spacing w:beforeLines="50" w:after="50" w:line="46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37B2128D">
      <w:pPr>
        <w:spacing w:line="46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6CB8B16E">
      <w:pPr>
        <w:rPr>
          <w:rFonts w:hint="eastAsia" w:ascii="仿宋" w:hAnsi="仿宋" w:eastAsia="仿宋" w:cs="仿宋"/>
          <w:b w:val="0"/>
          <w:bCs/>
          <w:color w:val="auto"/>
          <w:sz w:val="28"/>
          <w:szCs w:val="28"/>
          <w:highlight w:val="none"/>
        </w:rPr>
      </w:pPr>
    </w:p>
    <w:p w14:paraId="0AEDDCA5">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3C34069E">
      <w:pPr>
        <w:pStyle w:val="23"/>
        <w:rPr>
          <w:rFonts w:hint="eastAsia"/>
          <w:color w:val="auto"/>
          <w:highlight w:val="none"/>
        </w:rPr>
      </w:pPr>
    </w:p>
    <w:p w14:paraId="58413C3E">
      <w:pPr>
        <w:snapToGrid w:val="0"/>
        <w:spacing w:beforeLines="50" w:after="50" w:line="400" w:lineRule="exact"/>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11.</w:t>
      </w:r>
      <w:r>
        <w:rPr>
          <w:rFonts w:hint="eastAsia" w:ascii="仿宋" w:hAnsi="仿宋" w:eastAsia="仿宋" w:cs="仿宋"/>
          <w:b/>
          <w:color w:val="auto"/>
          <w:sz w:val="28"/>
          <w:szCs w:val="28"/>
          <w:highlight w:val="none"/>
        </w:rPr>
        <w:t>企业业绩</w:t>
      </w:r>
    </w:p>
    <w:p w14:paraId="0921CE8E">
      <w:pPr>
        <w:pStyle w:val="11"/>
        <w:keepNext w:val="0"/>
        <w:keepLines w:val="0"/>
        <w:pageBreakBefore w:val="0"/>
        <w:widowControl w:val="0"/>
        <w:kinsoku/>
        <w:wordWrap/>
        <w:overflowPunct/>
        <w:topLinePunct w:val="0"/>
        <w:bidi w:val="0"/>
        <w:snapToGrid/>
        <w:spacing w:line="50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 xml:space="preserve">投标人全称（加盖公章）： </w:t>
      </w:r>
      <w:r>
        <w:rPr>
          <w:rFonts w:hint="eastAsia" w:ascii="仿宋" w:hAnsi="仿宋" w:eastAsia="仿宋" w:cs="仿宋"/>
          <w:color w:val="auto"/>
          <w:sz w:val="24"/>
          <w:szCs w:val="24"/>
          <w:highlight w:val="none"/>
        </w:rPr>
        <w:t xml:space="preserve"> </w:t>
      </w:r>
    </w:p>
    <w:tbl>
      <w:tblPr>
        <w:tblStyle w:val="24"/>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532"/>
        <w:gridCol w:w="1161"/>
        <w:gridCol w:w="1418"/>
        <w:gridCol w:w="1159"/>
        <w:gridCol w:w="1246"/>
        <w:gridCol w:w="1246"/>
      </w:tblGrid>
      <w:tr w14:paraId="1A6DF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B054BD5">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532" w:type="dxa"/>
            <w:vAlign w:val="center"/>
          </w:tcPr>
          <w:p w14:paraId="1B2A0756">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1161" w:type="dxa"/>
            <w:vAlign w:val="center"/>
          </w:tcPr>
          <w:p w14:paraId="7B5C3D54">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使用方</w:t>
            </w:r>
          </w:p>
        </w:tc>
        <w:tc>
          <w:tcPr>
            <w:tcW w:w="1418" w:type="dxa"/>
            <w:vAlign w:val="center"/>
          </w:tcPr>
          <w:p w14:paraId="156748B8">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合同金额（元）</w:t>
            </w:r>
          </w:p>
        </w:tc>
        <w:tc>
          <w:tcPr>
            <w:tcW w:w="1159" w:type="dxa"/>
            <w:vAlign w:val="center"/>
          </w:tcPr>
          <w:p w14:paraId="52F68E87">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签订</w:t>
            </w:r>
          </w:p>
          <w:p w14:paraId="2C331F8E">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时间</w:t>
            </w:r>
          </w:p>
        </w:tc>
        <w:tc>
          <w:tcPr>
            <w:tcW w:w="1246" w:type="dxa"/>
            <w:vAlign w:val="center"/>
          </w:tcPr>
          <w:p w14:paraId="6E8BBB62">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使用方联系人</w:t>
            </w:r>
          </w:p>
        </w:tc>
        <w:tc>
          <w:tcPr>
            <w:tcW w:w="1246" w:type="dxa"/>
            <w:vAlign w:val="center"/>
          </w:tcPr>
          <w:p w14:paraId="7FFD140C">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联系</w:t>
            </w:r>
          </w:p>
          <w:p w14:paraId="6EE65B32">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方式</w:t>
            </w:r>
          </w:p>
        </w:tc>
      </w:tr>
      <w:tr w14:paraId="05A6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A4F32A5">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3376B64C">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3F41CE41">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423D3F5F">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456C9240">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5B080EC8">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23D7775F">
            <w:pPr>
              <w:snapToGrid w:val="0"/>
              <w:spacing w:beforeLines="50" w:after="50"/>
              <w:jc w:val="center"/>
              <w:rPr>
                <w:rFonts w:hint="eastAsia" w:ascii="仿宋" w:hAnsi="仿宋" w:eastAsia="仿宋" w:cs="仿宋"/>
                <w:color w:val="auto"/>
                <w:sz w:val="24"/>
                <w:highlight w:val="none"/>
              </w:rPr>
            </w:pPr>
          </w:p>
        </w:tc>
      </w:tr>
      <w:tr w14:paraId="16ADC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D15E1E1">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63A1E952">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64AA55A0">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22EB29F5">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0BB457A8">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7A2BDDF8">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46ADFDCE">
            <w:pPr>
              <w:snapToGrid w:val="0"/>
              <w:spacing w:beforeLines="50" w:after="50"/>
              <w:jc w:val="center"/>
              <w:rPr>
                <w:rFonts w:hint="eastAsia" w:ascii="仿宋" w:hAnsi="仿宋" w:eastAsia="仿宋" w:cs="仿宋"/>
                <w:color w:val="auto"/>
                <w:sz w:val="24"/>
                <w:highlight w:val="none"/>
              </w:rPr>
            </w:pPr>
          </w:p>
        </w:tc>
      </w:tr>
      <w:tr w14:paraId="4F92E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8621C21">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3665CA00">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253E7147">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0D91BB70">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403266BA">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681035B6">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553A337E">
            <w:pPr>
              <w:snapToGrid w:val="0"/>
              <w:spacing w:beforeLines="50" w:after="50"/>
              <w:jc w:val="center"/>
              <w:rPr>
                <w:rFonts w:hint="eastAsia" w:ascii="仿宋" w:hAnsi="仿宋" w:eastAsia="仿宋" w:cs="仿宋"/>
                <w:color w:val="auto"/>
                <w:sz w:val="24"/>
                <w:highlight w:val="none"/>
              </w:rPr>
            </w:pPr>
          </w:p>
        </w:tc>
      </w:tr>
      <w:tr w14:paraId="2F585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3EF5933">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121C1FDA">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0F0DAACF">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677942D1">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232B20B4">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610C8599">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3BD84DAA">
            <w:pPr>
              <w:snapToGrid w:val="0"/>
              <w:spacing w:beforeLines="50" w:after="50"/>
              <w:jc w:val="center"/>
              <w:rPr>
                <w:rFonts w:hint="eastAsia" w:ascii="仿宋" w:hAnsi="仿宋" w:eastAsia="仿宋" w:cs="仿宋"/>
                <w:color w:val="auto"/>
                <w:sz w:val="24"/>
                <w:highlight w:val="none"/>
              </w:rPr>
            </w:pPr>
          </w:p>
        </w:tc>
      </w:tr>
      <w:tr w14:paraId="7F36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FBF6DE9">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350F7DE7">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4C2B03D9">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28B06FD9">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466E5474">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5B7C48EA">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4CAA2B38">
            <w:pPr>
              <w:snapToGrid w:val="0"/>
              <w:spacing w:beforeLines="50" w:after="50"/>
              <w:jc w:val="center"/>
              <w:rPr>
                <w:rFonts w:hint="eastAsia" w:ascii="仿宋" w:hAnsi="仿宋" w:eastAsia="仿宋" w:cs="仿宋"/>
                <w:color w:val="auto"/>
                <w:sz w:val="24"/>
                <w:highlight w:val="none"/>
              </w:rPr>
            </w:pPr>
          </w:p>
        </w:tc>
      </w:tr>
      <w:tr w14:paraId="4AE41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2FB4518">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559DA1DB">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23222735">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4E083E9A">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55271619">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6E2ACB60">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64DE8729">
            <w:pPr>
              <w:snapToGrid w:val="0"/>
              <w:spacing w:beforeLines="50" w:after="50"/>
              <w:jc w:val="center"/>
              <w:rPr>
                <w:rFonts w:hint="eastAsia" w:ascii="仿宋" w:hAnsi="仿宋" w:eastAsia="仿宋" w:cs="仿宋"/>
                <w:color w:val="auto"/>
                <w:sz w:val="24"/>
                <w:highlight w:val="none"/>
              </w:rPr>
            </w:pPr>
          </w:p>
        </w:tc>
      </w:tr>
      <w:tr w14:paraId="1801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59EA5F3">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0A0545A8">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5B6C6504">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49435DC5">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494C29DC">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068820B2">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6BD32BBC">
            <w:pPr>
              <w:snapToGrid w:val="0"/>
              <w:spacing w:beforeLines="50" w:after="50"/>
              <w:jc w:val="center"/>
              <w:rPr>
                <w:rFonts w:hint="eastAsia" w:ascii="仿宋" w:hAnsi="仿宋" w:eastAsia="仿宋" w:cs="仿宋"/>
                <w:color w:val="auto"/>
                <w:sz w:val="24"/>
                <w:highlight w:val="none"/>
              </w:rPr>
            </w:pPr>
          </w:p>
        </w:tc>
      </w:tr>
      <w:tr w14:paraId="12652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9330E32">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76F77C3E">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49E3D396">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5113E99D">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0C6BB040">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0D06BAB3">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555914A8">
            <w:pPr>
              <w:snapToGrid w:val="0"/>
              <w:spacing w:beforeLines="50" w:after="50"/>
              <w:jc w:val="center"/>
              <w:rPr>
                <w:rFonts w:hint="eastAsia" w:ascii="仿宋" w:hAnsi="仿宋" w:eastAsia="仿宋" w:cs="仿宋"/>
                <w:color w:val="auto"/>
                <w:sz w:val="24"/>
                <w:highlight w:val="none"/>
              </w:rPr>
            </w:pPr>
          </w:p>
        </w:tc>
      </w:tr>
    </w:tbl>
    <w:p w14:paraId="5C524059">
      <w:pPr>
        <w:snapToGrid w:val="0"/>
        <w:spacing w:beforeLines="50" w:after="50"/>
        <w:jc w:val="left"/>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注：</w:t>
      </w:r>
      <w:r>
        <w:rPr>
          <w:rFonts w:hint="eastAsia" w:ascii="仿宋" w:hAnsi="仿宋" w:eastAsia="仿宋" w:cs="仿宋"/>
          <w:b/>
          <w:color w:val="auto"/>
          <w:sz w:val="24"/>
          <w:highlight w:val="none"/>
        </w:rPr>
        <w:t>此表仅提供了表格形式，投标人应根据需要准备足够数量的表格来填写</w:t>
      </w:r>
      <w:r>
        <w:rPr>
          <w:rFonts w:hint="eastAsia" w:ascii="仿宋" w:hAnsi="仿宋" w:eastAsia="仿宋" w:cs="仿宋"/>
          <w:b/>
          <w:color w:val="auto"/>
          <w:sz w:val="24"/>
          <w:highlight w:val="none"/>
          <w:lang w:eastAsia="zh-CN"/>
        </w:rPr>
        <w:t>。</w:t>
      </w:r>
    </w:p>
    <w:p w14:paraId="7578E5CA">
      <w:pPr>
        <w:snapToGrid w:val="0"/>
        <w:spacing w:beforeLines="50" w:after="50"/>
        <w:jc w:val="left"/>
        <w:rPr>
          <w:rFonts w:hint="eastAsia" w:ascii="仿宋" w:hAnsi="仿宋" w:eastAsia="仿宋" w:cs="仿宋"/>
          <w:b/>
          <w:color w:val="auto"/>
          <w:sz w:val="24"/>
          <w:highlight w:val="none"/>
        </w:rPr>
      </w:pPr>
    </w:p>
    <w:p w14:paraId="69EF5972">
      <w:pPr>
        <w:snapToGrid w:val="0"/>
        <w:spacing w:beforeLines="50" w:after="50"/>
        <w:jc w:val="left"/>
        <w:rPr>
          <w:rFonts w:hint="eastAsia" w:ascii="仿宋" w:hAnsi="仿宋" w:eastAsia="仿宋" w:cs="仿宋"/>
          <w:b/>
          <w:color w:val="auto"/>
          <w:sz w:val="24"/>
          <w:highlight w:val="none"/>
        </w:rPr>
      </w:pPr>
    </w:p>
    <w:p w14:paraId="1752D590">
      <w:pPr>
        <w:snapToGrid w:val="0"/>
        <w:spacing w:beforeLines="50" w:after="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eastAsia="zh-CN"/>
        </w:rPr>
        <w:t>字</w:t>
      </w:r>
      <w:r>
        <w:rPr>
          <w:rFonts w:hint="eastAsia" w:ascii="仿宋" w:hAnsi="仿宋" w:eastAsia="仿宋" w:cs="仿宋"/>
          <w:color w:val="auto"/>
          <w:sz w:val="24"/>
          <w:highlight w:val="none"/>
        </w:rPr>
        <w:t>或盖章：</w:t>
      </w:r>
    </w:p>
    <w:p w14:paraId="20184E13">
      <w:pPr>
        <w:snapToGrid w:val="0"/>
        <w:spacing w:beforeLines="50" w:after="50"/>
        <w:jc w:val="left"/>
        <w:rPr>
          <w:rFonts w:hint="eastAsia" w:ascii="仿宋" w:hAnsi="仿宋" w:eastAsia="仿宋" w:cs="仿宋"/>
          <w:color w:val="auto"/>
          <w:sz w:val="24"/>
          <w:highlight w:val="none"/>
        </w:rPr>
      </w:pPr>
    </w:p>
    <w:p w14:paraId="344E1D22">
      <w:pPr>
        <w:snapToGrid w:val="0"/>
        <w:spacing w:beforeLines="50" w:after="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59A12D4F">
      <w:pPr>
        <w:pStyle w:val="3"/>
        <w:rPr>
          <w:rFonts w:hint="eastAsia"/>
          <w:color w:val="auto"/>
          <w:highlight w:val="none"/>
        </w:rPr>
      </w:pPr>
    </w:p>
    <w:p w14:paraId="1E9AC3D6">
      <w:pPr>
        <w:pStyle w:val="3"/>
        <w:rPr>
          <w:rFonts w:hint="eastAsia" w:ascii="仿宋" w:hAnsi="仿宋" w:eastAsia="仿宋" w:cs="仿宋"/>
          <w:color w:val="auto"/>
          <w:sz w:val="24"/>
          <w:highlight w:val="none"/>
        </w:rPr>
      </w:pPr>
    </w:p>
    <w:p w14:paraId="48A029A3">
      <w:pPr>
        <w:rPr>
          <w:rFonts w:hint="eastAsia"/>
          <w:color w:val="auto"/>
          <w:highlight w:val="none"/>
        </w:rPr>
      </w:pPr>
    </w:p>
    <w:p w14:paraId="5BCF894E">
      <w:pPr>
        <w:spacing w:line="600" w:lineRule="exact"/>
        <w:jc w:val="center"/>
        <w:outlineLvl w:val="1"/>
        <w:rPr>
          <w:rFonts w:hint="eastAsia" w:ascii="仿宋" w:hAnsi="仿宋" w:eastAsia="仿宋" w:cs="仿宋"/>
          <w:b/>
          <w:bCs/>
          <w:color w:val="auto"/>
          <w:sz w:val="32"/>
          <w:szCs w:val="32"/>
          <w:highlight w:val="none"/>
          <w:lang w:val="en-US" w:eastAsia="zh-CN"/>
        </w:rPr>
      </w:pPr>
    </w:p>
    <w:p w14:paraId="3D5394F7">
      <w:pPr>
        <w:spacing w:line="600" w:lineRule="exact"/>
        <w:jc w:val="center"/>
        <w:outlineLvl w:val="1"/>
        <w:rPr>
          <w:rFonts w:hint="eastAsia" w:ascii="仿宋" w:hAnsi="仿宋" w:eastAsia="仿宋" w:cs="仿宋"/>
          <w:b/>
          <w:bCs/>
          <w:color w:val="auto"/>
          <w:sz w:val="32"/>
          <w:szCs w:val="32"/>
          <w:highlight w:val="none"/>
          <w:lang w:val="en-US" w:eastAsia="zh-CN"/>
        </w:rPr>
      </w:pPr>
    </w:p>
    <w:p w14:paraId="2DCC147D">
      <w:pPr>
        <w:spacing w:line="600" w:lineRule="exact"/>
        <w:jc w:val="center"/>
        <w:outlineLvl w:val="1"/>
        <w:rPr>
          <w:rFonts w:hint="eastAsia" w:ascii="仿宋" w:hAnsi="仿宋" w:eastAsia="仿宋" w:cs="仿宋"/>
          <w:b/>
          <w:bCs/>
          <w:color w:val="auto"/>
          <w:sz w:val="32"/>
          <w:szCs w:val="32"/>
          <w:highlight w:val="none"/>
          <w:lang w:val="en-US" w:eastAsia="zh-CN"/>
        </w:rPr>
      </w:pPr>
    </w:p>
    <w:p w14:paraId="450F97B4">
      <w:pPr>
        <w:spacing w:line="600" w:lineRule="exact"/>
        <w:jc w:val="center"/>
        <w:outlineLvl w:val="1"/>
        <w:rPr>
          <w:rFonts w:hint="eastAsia" w:ascii="仿宋" w:hAnsi="仿宋" w:eastAsia="仿宋" w:cs="仿宋"/>
          <w:b/>
          <w:bCs/>
          <w:color w:val="auto"/>
          <w:sz w:val="32"/>
          <w:szCs w:val="32"/>
          <w:highlight w:val="none"/>
          <w:lang w:val="en-US" w:eastAsia="zh-CN"/>
        </w:rPr>
      </w:pPr>
    </w:p>
    <w:p w14:paraId="187FDFA1">
      <w:pPr>
        <w:spacing w:line="600" w:lineRule="exact"/>
        <w:jc w:val="center"/>
        <w:outlineLvl w:val="1"/>
        <w:rPr>
          <w:rFonts w:hint="eastAsia" w:ascii="仿宋" w:hAnsi="仿宋" w:eastAsia="仿宋" w:cs="仿宋"/>
          <w:b/>
          <w:bCs/>
          <w:color w:val="auto"/>
          <w:sz w:val="32"/>
          <w:szCs w:val="32"/>
          <w:highlight w:val="none"/>
          <w:lang w:val="en-US" w:eastAsia="zh-CN"/>
        </w:rPr>
      </w:pPr>
    </w:p>
    <w:p w14:paraId="4D60408B">
      <w:pPr>
        <w:spacing w:line="600" w:lineRule="exact"/>
        <w:jc w:val="center"/>
        <w:outlineLvl w:val="1"/>
        <w:rPr>
          <w:rFonts w:hint="eastAsia" w:ascii="仿宋" w:hAnsi="仿宋" w:eastAsia="仿宋" w:cs="仿宋"/>
          <w:b/>
          <w:bCs/>
          <w:color w:val="auto"/>
          <w:sz w:val="32"/>
          <w:szCs w:val="32"/>
          <w:highlight w:val="none"/>
          <w:lang w:val="en-US" w:eastAsia="zh-CN"/>
        </w:rPr>
      </w:pPr>
    </w:p>
    <w:p w14:paraId="337563AB">
      <w:pPr>
        <w:spacing w:line="600" w:lineRule="exact"/>
        <w:jc w:val="center"/>
        <w:outlineLvl w:val="1"/>
        <w:rPr>
          <w:rFonts w:hint="eastAsia" w:ascii="仿宋" w:hAnsi="仿宋" w:eastAsia="仿宋" w:cs="仿宋"/>
          <w:b/>
          <w:bCs/>
          <w:color w:val="auto"/>
          <w:sz w:val="32"/>
          <w:szCs w:val="32"/>
          <w:highlight w:val="none"/>
          <w:lang w:val="en-US" w:eastAsia="zh-CN"/>
        </w:rPr>
      </w:pPr>
    </w:p>
    <w:p w14:paraId="45E76D89">
      <w:pPr>
        <w:spacing w:line="600" w:lineRule="exact"/>
        <w:jc w:val="center"/>
        <w:outlineLvl w:val="1"/>
        <w:rPr>
          <w:rFonts w:hint="eastAsia" w:ascii="仿宋" w:hAnsi="仿宋" w:eastAsia="仿宋" w:cs="仿宋"/>
          <w:b/>
          <w:bCs/>
          <w:color w:val="auto"/>
          <w:spacing w:val="24"/>
          <w:sz w:val="28"/>
          <w:szCs w:val="28"/>
          <w:highlight w:val="none"/>
          <w:lang w:eastAsia="zh-CN"/>
        </w:rPr>
      </w:pPr>
      <w:r>
        <w:rPr>
          <w:rFonts w:hint="eastAsia" w:ascii="仿宋" w:hAnsi="仿宋" w:eastAsia="仿宋" w:cs="仿宋"/>
          <w:b/>
          <w:color w:val="auto"/>
          <w:sz w:val="28"/>
          <w:szCs w:val="28"/>
          <w:highlight w:val="none"/>
          <w:lang w:val="en-US" w:eastAsia="zh-CN"/>
        </w:rPr>
        <w:t>12.企业认证</w:t>
      </w:r>
    </w:p>
    <w:p w14:paraId="21E5AE94">
      <w:pPr>
        <w:spacing w:line="600" w:lineRule="exact"/>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全称（加盖公章）：</w:t>
      </w:r>
    </w:p>
    <w:tbl>
      <w:tblPr>
        <w:tblStyle w:val="24"/>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
        <w:gridCol w:w="1980"/>
        <w:gridCol w:w="1596"/>
        <w:gridCol w:w="1980"/>
        <w:gridCol w:w="2904"/>
      </w:tblGrid>
      <w:tr w14:paraId="5577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4436C261">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980" w:type="dxa"/>
            <w:noWrap/>
            <w:vAlign w:val="center"/>
          </w:tcPr>
          <w:p w14:paraId="03B42644">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证书名称</w:t>
            </w:r>
          </w:p>
        </w:tc>
        <w:tc>
          <w:tcPr>
            <w:tcW w:w="1596" w:type="dxa"/>
            <w:noWrap/>
            <w:vAlign w:val="center"/>
          </w:tcPr>
          <w:p w14:paraId="7E3799DD">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颁发机构</w:t>
            </w:r>
          </w:p>
        </w:tc>
        <w:tc>
          <w:tcPr>
            <w:tcW w:w="1980" w:type="dxa"/>
            <w:noWrap/>
            <w:vAlign w:val="center"/>
          </w:tcPr>
          <w:p w14:paraId="2A720F1A">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颁发时间</w:t>
            </w:r>
          </w:p>
        </w:tc>
        <w:tc>
          <w:tcPr>
            <w:tcW w:w="2904" w:type="dxa"/>
            <w:noWrap/>
            <w:vAlign w:val="center"/>
          </w:tcPr>
          <w:p w14:paraId="08C4B2E1">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16445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07E0EB86">
            <w:pPr>
              <w:spacing w:line="440" w:lineRule="exact"/>
              <w:jc w:val="center"/>
              <w:rPr>
                <w:rFonts w:hint="eastAsia" w:ascii="仿宋" w:hAnsi="仿宋" w:eastAsia="仿宋" w:cs="仿宋"/>
                <w:color w:val="auto"/>
                <w:sz w:val="24"/>
                <w:highlight w:val="none"/>
              </w:rPr>
            </w:pPr>
          </w:p>
        </w:tc>
        <w:tc>
          <w:tcPr>
            <w:tcW w:w="1980" w:type="dxa"/>
            <w:noWrap/>
            <w:vAlign w:val="center"/>
          </w:tcPr>
          <w:p w14:paraId="48F8D022">
            <w:pPr>
              <w:spacing w:line="440" w:lineRule="exact"/>
              <w:jc w:val="center"/>
              <w:rPr>
                <w:rFonts w:hint="eastAsia" w:ascii="仿宋" w:hAnsi="仿宋" w:eastAsia="仿宋" w:cs="仿宋"/>
                <w:color w:val="auto"/>
                <w:sz w:val="24"/>
                <w:highlight w:val="none"/>
              </w:rPr>
            </w:pPr>
          </w:p>
        </w:tc>
        <w:tc>
          <w:tcPr>
            <w:tcW w:w="1596" w:type="dxa"/>
            <w:noWrap/>
            <w:vAlign w:val="center"/>
          </w:tcPr>
          <w:p w14:paraId="61C80417">
            <w:pPr>
              <w:spacing w:line="440" w:lineRule="exact"/>
              <w:jc w:val="center"/>
              <w:rPr>
                <w:rFonts w:hint="eastAsia" w:ascii="仿宋" w:hAnsi="仿宋" w:eastAsia="仿宋" w:cs="仿宋"/>
                <w:color w:val="auto"/>
                <w:sz w:val="24"/>
                <w:highlight w:val="none"/>
              </w:rPr>
            </w:pPr>
          </w:p>
        </w:tc>
        <w:tc>
          <w:tcPr>
            <w:tcW w:w="1980" w:type="dxa"/>
            <w:noWrap/>
            <w:vAlign w:val="center"/>
          </w:tcPr>
          <w:p w14:paraId="0434AAA3">
            <w:pPr>
              <w:spacing w:line="440" w:lineRule="exact"/>
              <w:jc w:val="center"/>
              <w:rPr>
                <w:rFonts w:hint="eastAsia" w:ascii="仿宋" w:hAnsi="仿宋" w:eastAsia="仿宋" w:cs="仿宋"/>
                <w:color w:val="auto"/>
                <w:sz w:val="24"/>
                <w:highlight w:val="none"/>
              </w:rPr>
            </w:pPr>
          </w:p>
        </w:tc>
        <w:tc>
          <w:tcPr>
            <w:tcW w:w="2904" w:type="dxa"/>
            <w:noWrap/>
            <w:vAlign w:val="center"/>
          </w:tcPr>
          <w:p w14:paraId="588EC21B">
            <w:pPr>
              <w:spacing w:line="440" w:lineRule="exact"/>
              <w:jc w:val="center"/>
              <w:rPr>
                <w:rFonts w:hint="eastAsia" w:ascii="仿宋" w:hAnsi="仿宋" w:eastAsia="仿宋" w:cs="仿宋"/>
                <w:color w:val="auto"/>
                <w:sz w:val="24"/>
                <w:highlight w:val="none"/>
              </w:rPr>
            </w:pPr>
          </w:p>
        </w:tc>
      </w:tr>
      <w:tr w14:paraId="16D3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5DD15759">
            <w:pPr>
              <w:spacing w:line="440" w:lineRule="exact"/>
              <w:jc w:val="center"/>
              <w:rPr>
                <w:rFonts w:hint="eastAsia" w:ascii="仿宋" w:hAnsi="仿宋" w:eastAsia="仿宋" w:cs="仿宋"/>
                <w:color w:val="auto"/>
                <w:sz w:val="24"/>
                <w:highlight w:val="none"/>
              </w:rPr>
            </w:pPr>
          </w:p>
        </w:tc>
        <w:tc>
          <w:tcPr>
            <w:tcW w:w="1980" w:type="dxa"/>
            <w:noWrap/>
            <w:vAlign w:val="center"/>
          </w:tcPr>
          <w:p w14:paraId="639642A1">
            <w:pPr>
              <w:spacing w:line="440" w:lineRule="exact"/>
              <w:jc w:val="center"/>
              <w:rPr>
                <w:rFonts w:hint="eastAsia" w:ascii="仿宋" w:hAnsi="仿宋" w:eastAsia="仿宋" w:cs="仿宋"/>
                <w:color w:val="auto"/>
                <w:sz w:val="24"/>
                <w:highlight w:val="none"/>
              </w:rPr>
            </w:pPr>
          </w:p>
        </w:tc>
        <w:tc>
          <w:tcPr>
            <w:tcW w:w="1596" w:type="dxa"/>
            <w:noWrap/>
            <w:vAlign w:val="center"/>
          </w:tcPr>
          <w:p w14:paraId="114E492D">
            <w:pPr>
              <w:spacing w:line="440" w:lineRule="exact"/>
              <w:jc w:val="center"/>
              <w:rPr>
                <w:rFonts w:hint="eastAsia" w:ascii="仿宋" w:hAnsi="仿宋" w:eastAsia="仿宋" w:cs="仿宋"/>
                <w:color w:val="auto"/>
                <w:sz w:val="24"/>
                <w:highlight w:val="none"/>
              </w:rPr>
            </w:pPr>
          </w:p>
        </w:tc>
        <w:tc>
          <w:tcPr>
            <w:tcW w:w="1980" w:type="dxa"/>
            <w:noWrap/>
            <w:vAlign w:val="center"/>
          </w:tcPr>
          <w:p w14:paraId="5D11EB20">
            <w:pPr>
              <w:spacing w:line="440" w:lineRule="exact"/>
              <w:jc w:val="center"/>
              <w:rPr>
                <w:rFonts w:hint="eastAsia" w:ascii="仿宋" w:hAnsi="仿宋" w:eastAsia="仿宋" w:cs="仿宋"/>
                <w:color w:val="auto"/>
                <w:sz w:val="24"/>
                <w:highlight w:val="none"/>
              </w:rPr>
            </w:pPr>
          </w:p>
        </w:tc>
        <w:tc>
          <w:tcPr>
            <w:tcW w:w="2904" w:type="dxa"/>
            <w:noWrap/>
            <w:vAlign w:val="center"/>
          </w:tcPr>
          <w:p w14:paraId="0D82D2B8">
            <w:pPr>
              <w:spacing w:line="440" w:lineRule="exact"/>
              <w:jc w:val="center"/>
              <w:rPr>
                <w:rFonts w:hint="eastAsia" w:ascii="仿宋" w:hAnsi="仿宋" w:eastAsia="仿宋" w:cs="仿宋"/>
                <w:color w:val="auto"/>
                <w:sz w:val="24"/>
                <w:highlight w:val="none"/>
              </w:rPr>
            </w:pPr>
          </w:p>
        </w:tc>
      </w:tr>
      <w:tr w14:paraId="7BFCB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69661498">
            <w:pPr>
              <w:spacing w:line="440" w:lineRule="exact"/>
              <w:jc w:val="center"/>
              <w:rPr>
                <w:rFonts w:hint="eastAsia" w:ascii="仿宋" w:hAnsi="仿宋" w:eastAsia="仿宋" w:cs="仿宋"/>
                <w:color w:val="auto"/>
                <w:sz w:val="24"/>
                <w:highlight w:val="none"/>
              </w:rPr>
            </w:pPr>
          </w:p>
        </w:tc>
        <w:tc>
          <w:tcPr>
            <w:tcW w:w="1980" w:type="dxa"/>
            <w:noWrap/>
            <w:vAlign w:val="center"/>
          </w:tcPr>
          <w:p w14:paraId="48DDBCC2">
            <w:pPr>
              <w:spacing w:line="440" w:lineRule="exact"/>
              <w:jc w:val="center"/>
              <w:rPr>
                <w:rFonts w:hint="eastAsia" w:ascii="仿宋" w:hAnsi="仿宋" w:eastAsia="仿宋" w:cs="仿宋"/>
                <w:color w:val="auto"/>
                <w:sz w:val="24"/>
                <w:highlight w:val="none"/>
              </w:rPr>
            </w:pPr>
          </w:p>
        </w:tc>
        <w:tc>
          <w:tcPr>
            <w:tcW w:w="1596" w:type="dxa"/>
            <w:noWrap/>
            <w:vAlign w:val="center"/>
          </w:tcPr>
          <w:p w14:paraId="1035DF51">
            <w:pPr>
              <w:spacing w:line="440" w:lineRule="exact"/>
              <w:jc w:val="center"/>
              <w:rPr>
                <w:rFonts w:hint="eastAsia" w:ascii="仿宋" w:hAnsi="仿宋" w:eastAsia="仿宋" w:cs="仿宋"/>
                <w:color w:val="auto"/>
                <w:sz w:val="24"/>
                <w:highlight w:val="none"/>
              </w:rPr>
            </w:pPr>
          </w:p>
        </w:tc>
        <w:tc>
          <w:tcPr>
            <w:tcW w:w="1980" w:type="dxa"/>
            <w:noWrap/>
            <w:vAlign w:val="center"/>
          </w:tcPr>
          <w:p w14:paraId="37CB4243">
            <w:pPr>
              <w:spacing w:line="440" w:lineRule="exact"/>
              <w:jc w:val="center"/>
              <w:rPr>
                <w:rFonts w:hint="eastAsia" w:ascii="仿宋" w:hAnsi="仿宋" w:eastAsia="仿宋" w:cs="仿宋"/>
                <w:color w:val="auto"/>
                <w:sz w:val="24"/>
                <w:highlight w:val="none"/>
              </w:rPr>
            </w:pPr>
          </w:p>
        </w:tc>
        <w:tc>
          <w:tcPr>
            <w:tcW w:w="2904" w:type="dxa"/>
            <w:noWrap/>
            <w:vAlign w:val="center"/>
          </w:tcPr>
          <w:p w14:paraId="0110B4A4">
            <w:pPr>
              <w:spacing w:line="440" w:lineRule="exact"/>
              <w:jc w:val="center"/>
              <w:rPr>
                <w:rFonts w:hint="eastAsia" w:ascii="仿宋" w:hAnsi="仿宋" w:eastAsia="仿宋" w:cs="仿宋"/>
                <w:color w:val="auto"/>
                <w:sz w:val="24"/>
                <w:highlight w:val="none"/>
              </w:rPr>
            </w:pPr>
          </w:p>
        </w:tc>
      </w:tr>
      <w:tr w14:paraId="52671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06F1708A">
            <w:pPr>
              <w:spacing w:line="440" w:lineRule="exact"/>
              <w:jc w:val="center"/>
              <w:rPr>
                <w:rFonts w:hint="eastAsia" w:ascii="仿宋" w:hAnsi="仿宋" w:eastAsia="仿宋" w:cs="仿宋"/>
                <w:color w:val="auto"/>
                <w:sz w:val="24"/>
                <w:highlight w:val="none"/>
              </w:rPr>
            </w:pPr>
          </w:p>
        </w:tc>
        <w:tc>
          <w:tcPr>
            <w:tcW w:w="1980" w:type="dxa"/>
            <w:noWrap/>
            <w:vAlign w:val="center"/>
          </w:tcPr>
          <w:p w14:paraId="49E0364D">
            <w:pPr>
              <w:spacing w:line="440" w:lineRule="exact"/>
              <w:jc w:val="center"/>
              <w:rPr>
                <w:rFonts w:hint="eastAsia" w:ascii="仿宋" w:hAnsi="仿宋" w:eastAsia="仿宋" w:cs="仿宋"/>
                <w:color w:val="auto"/>
                <w:sz w:val="24"/>
                <w:highlight w:val="none"/>
              </w:rPr>
            </w:pPr>
          </w:p>
        </w:tc>
        <w:tc>
          <w:tcPr>
            <w:tcW w:w="1596" w:type="dxa"/>
            <w:noWrap/>
            <w:vAlign w:val="center"/>
          </w:tcPr>
          <w:p w14:paraId="2BD20CFA">
            <w:pPr>
              <w:spacing w:line="440" w:lineRule="exact"/>
              <w:jc w:val="center"/>
              <w:rPr>
                <w:rFonts w:hint="eastAsia" w:ascii="仿宋" w:hAnsi="仿宋" w:eastAsia="仿宋" w:cs="仿宋"/>
                <w:color w:val="auto"/>
                <w:sz w:val="24"/>
                <w:highlight w:val="none"/>
              </w:rPr>
            </w:pPr>
          </w:p>
        </w:tc>
        <w:tc>
          <w:tcPr>
            <w:tcW w:w="1980" w:type="dxa"/>
            <w:noWrap/>
            <w:vAlign w:val="center"/>
          </w:tcPr>
          <w:p w14:paraId="145563B2">
            <w:pPr>
              <w:spacing w:line="440" w:lineRule="exact"/>
              <w:jc w:val="center"/>
              <w:rPr>
                <w:rFonts w:hint="eastAsia" w:ascii="仿宋" w:hAnsi="仿宋" w:eastAsia="仿宋" w:cs="仿宋"/>
                <w:color w:val="auto"/>
                <w:sz w:val="24"/>
                <w:highlight w:val="none"/>
              </w:rPr>
            </w:pPr>
          </w:p>
        </w:tc>
        <w:tc>
          <w:tcPr>
            <w:tcW w:w="2904" w:type="dxa"/>
            <w:noWrap/>
            <w:vAlign w:val="center"/>
          </w:tcPr>
          <w:p w14:paraId="52DE626F">
            <w:pPr>
              <w:spacing w:line="440" w:lineRule="exact"/>
              <w:jc w:val="center"/>
              <w:rPr>
                <w:rFonts w:hint="eastAsia" w:ascii="仿宋" w:hAnsi="仿宋" w:eastAsia="仿宋" w:cs="仿宋"/>
                <w:color w:val="auto"/>
                <w:sz w:val="24"/>
                <w:highlight w:val="none"/>
              </w:rPr>
            </w:pPr>
          </w:p>
        </w:tc>
      </w:tr>
      <w:tr w14:paraId="4C51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781C2192">
            <w:pPr>
              <w:spacing w:line="440" w:lineRule="exact"/>
              <w:jc w:val="center"/>
              <w:rPr>
                <w:rFonts w:hint="eastAsia" w:ascii="仿宋" w:hAnsi="仿宋" w:eastAsia="仿宋" w:cs="仿宋"/>
                <w:color w:val="auto"/>
                <w:sz w:val="24"/>
                <w:highlight w:val="none"/>
              </w:rPr>
            </w:pPr>
          </w:p>
        </w:tc>
        <w:tc>
          <w:tcPr>
            <w:tcW w:w="1980" w:type="dxa"/>
            <w:noWrap/>
            <w:vAlign w:val="center"/>
          </w:tcPr>
          <w:p w14:paraId="56079733">
            <w:pPr>
              <w:spacing w:line="440" w:lineRule="exact"/>
              <w:jc w:val="center"/>
              <w:rPr>
                <w:rFonts w:hint="eastAsia" w:ascii="仿宋" w:hAnsi="仿宋" w:eastAsia="仿宋" w:cs="仿宋"/>
                <w:color w:val="auto"/>
                <w:sz w:val="24"/>
                <w:highlight w:val="none"/>
              </w:rPr>
            </w:pPr>
          </w:p>
        </w:tc>
        <w:tc>
          <w:tcPr>
            <w:tcW w:w="1596" w:type="dxa"/>
            <w:noWrap/>
            <w:vAlign w:val="center"/>
          </w:tcPr>
          <w:p w14:paraId="67AA87E6">
            <w:pPr>
              <w:spacing w:line="440" w:lineRule="exact"/>
              <w:jc w:val="center"/>
              <w:rPr>
                <w:rFonts w:hint="eastAsia" w:ascii="仿宋" w:hAnsi="仿宋" w:eastAsia="仿宋" w:cs="仿宋"/>
                <w:color w:val="auto"/>
                <w:sz w:val="24"/>
                <w:highlight w:val="none"/>
              </w:rPr>
            </w:pPr>
          </w:p>
        </w:tc>
        <w:tc>
          <w:tcPr>
            <w:tcW w:w="1980" w:type="dxa"/>
            <w:noWrap/>
            <w:vAlign w:val="center"/>
          </w:tcPr>
          <w:p w14:paraId="119FA486">
            <w:pPr>
              <w:spacing w:line="440" w:lineRule="exact"/>
              <w:jc w:val="center"/>
              <w:rPr>
                <w:rFonts w:hint="eastAsia" w:ascii="仿宋" w:hAnsi="仿宋" w:eastAsia="仿宋" w:cs="仿宋"/>
                <w:color w:val="auto"/>
                <w:sz w:val="24"/>
                <w:highlight w:val="none"/>
              </w:rPr>
            </w:pPr>
          </w:p>
        </w:tc>
        <w:tc>
          <w:tcPr>
            <w:tcW w:w="2904" w:type="dxa"/>
            <w:noWrap/>
            <w:vAlign w:val="center"/>
          </w:tcPr>
          <w:p w14:paraId="6B78641F">
            <w:pPr>
              <w:spacing w:line="440" w:lineRule="exact"/>
              <w:jc w:val="center"/>
              <w:rPr>
                <w:rFonts w:hint="eastAsia" w:ascii="仿宋" w:hAnsi="仿宋" w:eastAsia="仿宋" w:cs="仿宋"/>
                <w:color w:val="auto"/>
                <w:sz w:val="24"/>
                <w:highlight w:val="none"/>
              </w:rPr>
            </w:pPr>
          </w:p>
        </w:tc>
      </w:tr>
      <w:tr w14:paraId="2D9D3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118ACC0B">
            <w:pPr>
              <w:spacing w:line="440" w:lineRule="exact"/>
              <w:jc w:val="center"/>
              <w:rPr>
                <w:rFonts w:hint="eastAsia" w:ascii="仿宋" w:hAnsi="仿宋" w:eastAsia="仿宋" w:cs="仿宋"/>
                <w:color w:val="auto"/>
                <w:sz w:val="24"/>
                <w:highlight w:val="none"/>
              </w:rPr>
            </w:pPr>
          </w:p>
        </w:tc>
        <w:tc>
          <w:tcPr>
            <w:tcW w:w="1980" w:type="dxa"/>
            <w:noWrap/>
            <w:vAlign w:val="center"/>
          </w:tcPr>
          <w:p w14:paraId="7B41345F">
            <w:pPr>
              <w:spacing w:line="440" w:lineRule="exact"/>
              <w:jc w:val="center"/>
              <w:rPr>
                <w:rFonts w:hint="eastAsia" w:ascii="仿宋" w:hAnsi="仿宋" w:eastAsia="仿宋" w:cs="仿宋"/>
                <w:color w:val="auto"/>
                <w:sz w:val="24"/>
                <w:highlight w:val="none"/>
              </w:rPr>
            </w:pPr>
          </w:p>
        </w:tc>
        <w:tc>
          <w:tcPr>
            <w:tcW w:w="1596" w:type="dxa"/>
            <w:noWrap/>
            <w:vAlign w:val="center"/>
          </w:tcPr>
          <w:p w14:paraId="63B4783F">
            <w:pPr>
              <w:spacing w:line="440" w:lineRule="exact"/>
              <w:jc w:val="center"/>
              <w:rPr>
                <w:rFonts w:hint="eastAsia" w:ascii="仿宋" w:hAnsi="仿宋" w:eastAsia="仿宋" w:cs="仿宋"/>
                <w:color w:val="auto"/>
                <w:sz w:val="24"/>
                <w:highlight w:val="none"/>
              </w:rPr>
            </w:pPr>
          </w:p>
        </w:tc>
        <w:tc>
          <w:tcPr>
            <w:tcW w:w="1980" w:type="dxa"/>
            <w:noWrap/>
            <w:vAlign w:val="center"/>
          </w:tcPr>
          <w:p w14:paraId="1E72CAD5">
            <w:pPr>
              <w:spacing w:line="440" w:lineRule="exact"/>
              <w:jc w:val="center"/>
              <w:rPr>
                <w:rFonts w:hint="eastAsia" w:ascii="仿宋" w:hAnsi="仿宋" w:eastAsia="仿宋" w:cs="仿宋"/>
                <w:color w:val="auto"/>
                <w:sz w:val="24"/>
                <w:highlight w:val="none"/>
              </w:rPr>
            </w:pPr>
          </w:p>
        </w:tc>
        <w:tc>
          <w:tcPr>
            <w:tcW w:w="2904" w:type="dxa"/>
            <w:noWrap/>
            <w:vAlign w:val="center"/>
          </w:tcPr>
          <w:p w14:paraId="0B505853">
            <w:pPr>
              <w:spacing w:line="440" w:lineRule="exact"/>
              <w:jc w:val="center"/>
              <w:rPr>
                <w:rFonts w:hint="eastAsia" w:ascii="仿宋" w:hAnsi="仿宋" w:eastAsia="仿宋" w:cs="仿宋"/>
                <w:color w:val="auto"/>
                <w:sz w:val="24"/>
                <w:highlight w:val="none"/>
              </w:rPr>
            </w:pPr>
          </w:p>
        </w:tc>
      </w:tr>
      <w:tr w14:paraId="461E0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0F2B97B5">
            <w:pPr>
              <w:spacing w:line="440" w:lineRule="exact"/>
              <w:jc w:val="center"/>
              <w:rPr>
                <w:rFonts w:hint="eastAsia" w:ascii="仿宋" w:hAnsi="仿宋" w:eastAsia="仿宋" w:cs="仿宋"/>
                <w:color w:val="auto"/>
                <w:sz w:val="24"/>
                <w:highlight w:val="none"/>
              </w:rPr>
            </w:pPr>
          </w:p>
        </w:tc>
        <w:tc>
          <w:tcPr>
            <w:tcW w:w="1980" w:type="dxa"/>
            <w:noWrap/>
            <w:vAlign w:val="center"/>
          </w:tcPr>
          <w:p w14:paraId="0BF6168D">
            <w:pPr>
              <w:spacing w:line="440" w:lineRule="exact"/>
              <w:jc w:val="center"/>
              <w:rPr>
                <w:rFonts w:hint="eastAsia" w:ascii="仿宋" w:hAnsi="仿宋" w:eastAsia="仿宋" w:cs="仿宋"/>
                <w:color w:val="auto"/>
                <w:sz w:val="24"/>
                <w:highlight w:val="none"/>
              </w:rPr>
            </w:pPr>
          </w:p>
        </w:tc>
        <w:tc>
          <w:tcPr>
            <w:tcW w:w="1596" w:type="dxa"/>
            <w:noWrap/>
            <w:vAlign w:val="center"/>
          </w:tcPr>
          <w:p w14:paraId="4CBD79EB">
            <w:pPr>
              <w:spacing w:line="440" w:lineRule="exact"/>
              <w:jc w:val="center"/>
              <w:rPr>
                <w:rFonts w:hint="eastAsia" w:ascii="仿宋" w:hAnsi="仿宋" w:eastAsia="仿宋" w:cs="仿宋"/>
                <w:color w:val="auto"/>
                <w:sz w:val="24"/>
                <w:highlight w:val="none"/>
              </w:rPr>
            </w:pPr>
          </w:p>
        </w:tc>
        <w:tc>
          <w:tcPr>
            <w:tcW w:w="1980" w:type="dxa"/>
            <w:noWrap/>
            <w:vAlign w:val="center"/>
          </w:tcPr>
          <w:p w14:paraId="05F2DD9F">
            <w:pPr>
              <w:spacing w:line="440" w:lineRule="exact"/>
              <w:jc w:val="center"/>
              <w:rPr>
                <w:rFonts w:hint="eastAsia" w:ascii="仿宋" w:hAnsi="仿宋" w:eastAsia="仿宋" w:cs="仿宋"/>
                <w:color w:val="auto"/>
                <w:sz w:val="24"/>
                <w:highlight w:val="none"/>
              </w:rPr>
            </w:pPr>
          </w:p>
        </w:tc>
        <w:tc>
          <w:tcPr>
            <w:tcW w:w="2904" w:type="dxa"/>
            <w:noWrap/>
            <w:vAlign w:val="center"/>
          </w:tcPr>
          <w:p w14:paraId="7AC67C5F">
            <w:pPr>
              <w:spacing w:line="440" w:lineRule="exact"/>
              <w:jc w:val="center"/>
              <w:rPr>
                <w:rFonts w:hint="eastAsia" w:ascii="仿宋" w:hAnsi="仿宋" w:eastAsia="仿宋" w:cs="仿宋"/>
                <w:color w:val="auto"/>
                <w:sz w:val="24"/>
                <w:highlight w:val="none"/>
              </w:rPr>
            </w:pPr>
          </w:p>
        </w:tc>
      </w:tr>
      <w:tr w14:paraId="4A1C5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4A23D6DF">
            <w:pPr>
              <w:spacing w:line="440" w:lineRule="exact"/>
              <w:jc w:val="center"/>
              <w:rPr>
                <w:rFonts w:hint="eastAsia" w:ascii="仿宋" w:hAnsi="仿宋" w:eastAsia="仿宋" w:cs="仿宋"/>
                <w:color w:val="auto"/>
                <w:sz w:val="24"/>
                <w:highlight w:val="none"/>
              </w:rPr>
            </w:pPr>
          </w:p>
        </w:tc>
        <w:tc>
          <w:tcPr>
            <w:tcW w:w="1980" w:type="dxa"/>
            <w:noWrap/>
            <w:vAlign w:val="center"/>
          </w:tcPr>
          <w:p w14:paraId="4B0F9E58">
            <w:pPr>
              <w:spacing w:line="440" w:lineRule="exact"/>
              <w:jc w:val="center"/>
              <w:rPr>
                <w:rFonts w:hint="eastAsia" w:ascii="仿宋" w:hAnsi="仿宋" w:eastAsia="仿宋" w:cs="仿宋"/>
                <w:color w:val="auto"/>
                <w:sz w:val="24"/>
                <w:highlight w:val="none"/>
              </w:rPr>
            </w:pPr>
          </w:p>
        </w:tc>
        <w:tc>
          <w:tcPr>
            <w:tcW w:w="1596" w:type="dxa"/>
            <w:noWrap/>
            <w:vAlign w:val="center"/>
          </w:tcPr>
          <w:p w14:paraId="4F2D9E46">
            <w:pPr>
              <w:spacing w:line="440" w:lineRule="exact"/>
              <w:jc w:val="center"/>
              <w:rPr>
                <w:rFonts w:hint="eastAsia" w:ascii="仿宋" w:hAnsi="仿宋" w:eastAsia="仿宋" w:cs="仿宋"/>
                <w:color w:val="auto"/>
                <w:sz w:val="24"/>
                <w:highlight w:val="none"/>
              </w:rPr>
            </w:pPr>
          </w:p>
        </w:tc>
        <w:tc>
          <w:tcPr>
            <w:tcW w:w="1980" w:type="dxa"/>
            <w:noWrap/>
            <w:vAlign w:val="center"/>
          </w:tcPr>
          <w:p w14:paraId="4C8AF874">
            <w:pPr>
              <w:spacing w:line="440" w:lineRule="exact"/>
              <w:jc w:val="center"/>
              <w:rPr>
                <w:rFonts w:hint="eastAsia" w:ascii="仿宋" w:hAnsi="仿宋" w:eastAsia="仿宋" w:cs="仿宋"/>
                <w:color w:val="auto"/>
                <w:sz w:val="24"/>
                <w:highlight w:val="none"/>
              </w:rPr>
            </w:pPr>
          </w:p>
        </w:tc>
        <w:tc>
          <w:tcPr>
            <w:tcW w:w="2904" w:type="dxa"/>
            <w:noWrap/>
            <w:vAlign w:val="center"/>
          </w:tcPr>
          <w:p w14:paraId="376F1E97">
            <w:pPr>
              <w:spacing w:line="440" w:lineRule="exact"/>
              <w:jc w:val="center"/>
              <w:rPr>
                <w:rFonts w:hint="eastAsia" w:ascii="仿宋" w:hAnsi="仿宋" w:eastAsia="仿宋" w:cs="仿宋"/>
                <w:color w:val="auto"/>
                <w:sz w:val="24"/>
                <w:highlight w:val="none"/>
              </w:rPr>
            </w:pPr>
          </w:p>
        </w:tc>
      </w:tr>
      <w:tr w14:paraId="4371F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0A652483">
            <w:pPr>
              <w:spacing w:line="440" w:lineRule="exact"/>
              <w:jc w:val="center"/>
              <w:rPr>
                <w:rFonts w:hint="eastAsia" w:ascii="仿宋" w:hAnsi="仿宋" w:eastAsia="仿宋" w:cs="仿宋"/>
                <w:color w:val="auto"/>
                <w:sz w:val="24"/>
                <w:highlight w:val="none"/>
              </w:rPr>
            </w:pPr>
          </w:p>
        </w:tc>
        <w:tc>
          <w:tcPr>
            <w:tcW w:w="1980" w:type="dxa"/>
            <w:noWrap/>
            <w:vAlign w:val="center"/>
          </w:tcPr>
          <w:p w14:paraId="2CB56DB4">
            <w:pPr>
              <w:spacing w:line="440" w:lineRule="exact"/>
              <w:jc w:val="center"/>
              <w:rPr>
                <w:rFonts w:hint="eastAsia" w:ascii="仿宋" w:hAnsi="仿宋" w:eastAsia="仿宋" w:cs="仿宋"/>
                <w:color w:val="auto"/>
                <w:sz w:val="24"/>
                <w:highlight w:val="none"/>
              </w:rPr>
            </w:pPr>
          </w:p>
        </w:tc>
        <w:tc>
          <w:tcPr>
            <w:tcW w:w="1596" w:type="dxa"/>
            <w:noWrap/>
            <w:vAlign w:val="center"/>
          </w:tcPr>
          <w:p w14:paraId="39E9C846">
            <w:pPr>
              <w:spacing w:line="440" w:lineRule="exact"/>
              <w:jc w:val="center"/>
              <w:rPr>
                <w:rFonts w:hint="eastAsia" w:ascii="仿宋" w:hAnsi="仿宋" w:eastAsia="仿宋" w:cs="仿宋"/>
                <w:color w:val="auto"/>
                <w:sz w:val="24"/>
                <w:highlight w:val="none"/>
              </w:rPr>
            </w:pPr>
          </w:p>
        </w:tc>
        <w:tc>
          <w:tcPr>
            <w:tcW w:w="1980" w:type="dxa"/>
            <w:noWrap/>
            <w:vAlign w:val="center"/>
          </w:tcPr>
          <w:p w14:paraId="224A2588">
            <w:pPr>
              <w:spacing w:line="440" w:lineRule="exact"/>
              <w:jc w:val="center"/>
              <w:rPr>
                <w:rFonts w:hint="eastAsia" w:ascii="仿宋" w:hAnsi="仿宋" w:eastAsia="仿宋" w:cs="仿宋"/>
                <w:color w:val="auto"/>
                <w:sz w:val="24"/>
                <w:highlight w:val="none"/>
              </w:rPr>
            </w:pPr>
          </w:p>
        </w:tc>
        <w:tc>
          <w:tcPr>
            <w:tcW w:w="2904" w:type="dxa"/>
            <w:noWrap/>
            <w:vAlign w:val="center"/>
          </w:tcPr>
          <w:p w14:paraId="60B3388E">
            <w:pPr>
              <w:spacing w:line="440" w:lineRule="exact"/>
              <w:jc w:val="center"/>
              <w:rPr>
                <w:rFonts w:hint="eastAsia" w:ascii="仿宋" w:hAnsi="仿宋" w:eastAsia="仿宋" w:cs="仿宋"/>
                <w:color w:val="auto"/>
                <w:sz w:val="24"/>
                <w:highlight w:val="none"/>
              </w:rPr>
            </w:pPr>
          </w:p>
        </w:tc>
      </w:tr>
      <w:tr w14:paraId="482E7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036EC411">
            <w:pPr>
              <w:spacing w:line="440" w:lineRule="exact"/>
              <w:jc w:val="center"/>
              <w:rPr>
                <w:rFonts w:hint="eastAsia" w:ascii="仿宋" w:hAnsi="仿宋" w:eastAsia="仿宋" w:cs="仿宋"/>
                <w:color w:val="auto"/>
                <w:sz w:val="24"/>
                <w:highlight w:val="none"/>
              </w:rPr>
            </w:pPr>
          </w:p>
        </w:tc>
        <w:tc>
          <w:tcPr>
            <w:tcW w:w="1980" w:type="dxa"/>
            <w:noWrap/>
            <w:vAlign w:val="center"/>
          </w:tcPr>
          <w:p w14:paraId="644D2689">
            <w:pPr>
              <w:spacing w:line="440" w:lineRule="exact"/>
              <w:jc w:val="center"/>
              <w:rPr>
                <w:rFonts w:hint="eastAsia" w:ascii="仿宋" w:hAnsi="仿宋" w:eastAsia="仿宋" w:cs="仿宋"/>
                <w:color w:val="auto"/>
                <w:sz w:val="24"/>
                <w:highlight w:val="none"/>
              </w:rPr>
            </w:pPr>
          </w:p>
        </w:tc>
        <w:tc>
          <w:tcPr>
            <w:tcW w:w="1596" w:type="dxa"/>
            <w:noWrap/>
            <w:vAlign w:val="center"/>
          </w:tcPr>
          <w:p w14:paraId="17339D64">
            <w:pPr>
              <w:spacing w:line="440" w:lineRule="exact"/>
              <w:jc w:val="center"/>
              <w:rPr>
                <w:rFonts w:hint="eastAsia" w:ascii="仿宋" w:hAnsi="仿宋" w:eastAsia="仿宋" w:cs="仿宋"/>
                <w:color w:val="auto"/>
                <w:sz w:val="24"/>
                <w:highlight w:val="none"/>
              </w:rPr>
            </w:pPr>
          </w:p>
        </w:tc>
        <w:tc>
          <w:tcPr>
            <w:tcW w:w="1980" w:type="dxa"/>
            <w:noWrap/>
            <w:vAlign w:val="center"/>
          </w:tcPr>
          <w:p w14:paraId="1FA73F92">
            <w:pPr>
              <w:spacing w:line="440" w:lineRule="exact"/>
              <w:jc w:val="center"/>
              <w:rPr>
                <w:rFonts w:hint="eastAsia" w:ascii="仿宋" w:hAnsi="仿宋" w:eastAsia="仿宋" w:cs="仿宋"/>
                <w:color w:val="auto"/>
                <w:sz w:val="24"/>
                <w:highlight w:val="none"/>
              </w:rPr>
            </w:pPr>
          </w:p>
        </w:tc>
        <w:tc>
          <w:tcPr>
            <w:tcW w:w="2904" w:type="dxa"/>
            <w:noWrap/>
            <w:vAlign w:val="center"/>
          </w:tcPr>
          <w:p w14:paraId="2A021C46">
            <w:pPr>
              <w:spacing w:line="440" w:lineRule="exact"/>
              <w:jc w:val="center"/>
              <w:rPr>
                <w:rFonts w:hint="eastAsia" w:ascii="仿宋" w:hAnsi="仿宋" w:eastAsia="仿宋" w:cs="仿宋"/>
                <w:color w:val="auto"/>
                <w:sz w:val="24"/>
                <w:highlight w:val="none"/>
              </w:rPr>
            </w:pPr>
          </w:p>
        </w:tc>
      </w:tr>
      <w:tr w14:paraId="5E1A1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4" w:type="dxa"/>
            <w:noWrap/>
            <w:vAlign w:val="center"/>
          </w:tcPr>
          <w:p w14:paraId="1180A31F">
            <w:pPr>
              <w:spacing w:line="440" w:lineRule="exact"/>
              <w:jc w:val="center"/>
              <w:rPr>
                <w:rFonts w:hint="eastAsia" w:ascii="仿宋" w:hAnsi="仿宋" w:eastAsia="仿宋" w:cs="仿宋"/>
                <w:color w:val="auto"/>
                <w:sz w:val="24"/>
                <w:highlight w:val="none"/>
              </w:rPr>
            </w:pPr>
          </w:p>
        </w:tc>
        <w:tc>
          <w:tcPr>
            <w:tcW w:w="1980" w:type="dxa"/>
            <w:noWrap/>
            <w:vAlign w:val="center"/>
          </w:tcPr>
          <w:p w14:paraId="50DD6C8F">
            <w:pPr>
              <w:spacing w:line="440" w:lineRule="exact"/>
              <w:jc w:val="center"/>
              <w:rPr>
                <w:rFonts w:hint="eastAsia" w:ascii="仿宋" w:hAnsi="仿宋" w:eastAsia="仿宋" w:cs="仿宋"/>
                <w:color w:val="auto"/>
                <w:sz w:val="24"/>
                <w:highlight w:val="none"/>
              </w:rPr>
            </w:pPr>
          </w:p>
        </w:tc>
        <w:tc>
          <w:tcPr>
            <w:tcW w:w="1596" w:type="dxa"/>
            <w:noWrap/>
            <w:vAlign w:val="center"/>
          </w:tcPr>
          <w:p w14:paraId="1A60B79B">
            <w:pPr>
              <w:spacing w:line="440" w:lineRule="exact"/>
              <w:jc w:val="center"/>
              <w:rPr>
                <w:rFonts w:hint="eastAsia" w:ascii="仿宋" w:hAnsi="仿宋" w:eastAsia="仿宋" w:cs="仿宋"/>
                <w:color w:val="auto"/>
                <w:sz w:val="24"/>
                <w:highlight w:val="none"/>
              </w:rPr>
            </w:pPr>
          </w:p>
        </w:tc>
        <w:tc>
          <w:tcPr>
            <w:tcW w:w="1980" w:type="dxa"/>
            <w:noWrap/>
            <w:vAlign w:val="center"/>
          </w:tcPr>
          <w:p w14:paraId="327B941A">
            <w:pPr>
              <w:spacing w:line="440" w:lineRule="exact"/>
              <w:jc w:val="center"/>
              <w:rPr>
                <w:rFonts w:hint="eastAsia" w:ascii="仿宋" w:hAnsi="仿宋" w:eastAsia="仿宋" w:cs="仿宋"/>
                <w:color w:val="auto"/>
                <w:sz w:val="24"/>
                <w:highlight w:val="none"/>
              </w:rPr>
            </w:pPr>
          </w:p>
        </w:tc>
        <w:tc>
          <w:tcPr>
            <w:tcW w:w="2904" w:type="dxa"/>
            <w:noWrap/>
            <w:vAlign w:val="center"/>
          </w:tcPr>
          <w:p w14:paraId="0875B38C">
            <w:pPr>
              <w:spacing w:line="440" w:lineRule="exact"/>
              <w:jc w:val="center"/>
              <w:rPr>
                <w:rFonts w:hint="eastAsia" w:ascii="仿宋" w:hAnsi="仿宋" w:eastAsia="仿宋" w:cs="仿宋"/>
                <w:color w:val="auto"/>
                <w:sz w:val="24"/>
                <w:highlight w:val="none"/>
              </w:rPr>
            </w:pPr>
          </w:p>
        </w:tc>
      </w:tr>
    </w:tbl>
    <w:p w14:paraId="00183D22">
      <w:pPr>
        <w:snapToGrid w:val="0"/>
        <w:spacing w:beforeLines="50" w:after="50"/>
        <w:jc w:val="left"/>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注：</w:t>
      </w:r>
      <w:r>
        <w:rPr>
          <w:rFonts w:hint="eastAsia" w:ascii="仿宋" w:hAnsi="仿宋" w:eastAsia="仿宋" w:cs="仿宋"/>
          <w:b/>
          <w:color w:val="auto"/>
          <w:sz w:val="24"/>
          <w:highlight w:val="none"/>
        </w:rPr>
        <w:t>此表仅提供了表格形式，投标人应根据需要准备足够数量的表格来填写</w:t>
      </w:r>
      <w:r>
        <w:rPr>
          <w:rFonts w:hint="eastAsia" w:ascii="仿宋" w:hAnsi="仿宋" w:eastAsia="仿宋" w:cs="仿宋"/>
          <w:b/>
          <w:color w:val="auto"/>
          <w:sz w:val="24"/>
          <w:highlight w:val="none"/>
          <w:lang w:eastAsia="zh-CN"/>
        </w:rPr>
        <w:t>。</w:t>
      </w:r>
    </w:p>
    <w:p w14:paraId="1BA5FA5B">
      <w:pPr>
        <w:spacing w:line="360" w:lineRule="auto"/>
        <w:rPr>
          <w:rFonts w:hint="eastAsia" w:ascii="仿宋" w:hAnsi="仿宋" w:eastAsia="仿宋" w:cs="仿宋"/>
          <w:color w:val="auto"/>
          <w:sz w:val="24"/>
          <w:highlight w:val="none"/>
        </w:rPr>
      </w:pPr>
    </w:p>
    <w:p w14:paraId="53970364">
      <w:pPr>
        <w:spacing w:line="360" w:lineRule="auto"/>
        <w:rPr>
          <w:rFonts w:hint="eastAsia" w:ascii="仿宋" w:hAnsi="仿宋" w:eastAsia="仿宋" w:cs="仿宋"/>
          <w:color w:val="auto"/>
          <w:sz w:val="24"/>
          <w:highlight w:val="none"/>
        </w:rPr>
      </w:pPr>
    </w:p>
    <w:p w14:paraId="455EE5E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eastAsia="zh-CN"/>
        </w:rPr>
        <w:t>字</w:t>
      </w:r>
      <w:r>
        <w:rPr>
          <w:rFonts w:hint="eastAsia" w:ascii="仿宋" w:hAnsi="仿宋" w:eastAsia="仿宋" w:cs="仿宋"/>
          <w:color w:val="auto"/>
          <w:sz w:val="24"/>
          <w:highlight w:val="none"/>
        </w:rPr>
        <w:t>或盖章：</w:t>
      </w:r>
    </w:p>
    <w:p w14:paraId="66DBFE4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75E10B15">
      <w:pPr>
        <w:spacing w:line="360" w:lineRule="auto"/>
        <w:ind w:left="843" w:hanging="843" w:hangingChars="350"/>
        <w:rPr>
          <w:rFonts w:hint="eastAsia" w:ascii="仿宋" w:hAnsi="仿宋" w:eastAsia="仿宋" w:cs="仿宋"/>
          <w:b/>
          <w:color w:val="auto"/>
          <w:sz w:val="24"/>
          <w:highlight w:val="none"/>
        </w:rPr>
      </w:pPr>
    </w:p>
    <w:p w14:paraId="2032D91C">
      <w:pPr>
        <w:spacing w:line="360" w:lineRule="auto"/>
        <w:ind w:left="843" w:hanging="843" w:hangingChars="350"/>
        <w:rPr>
          <w:rFonts w:hint="eastAsia" w:ascii="仿宋" w:hAnsi="仿宋" w:eastAsia="仿宋" w:cs="仿宋"/>
          <w:b/>
          <w:color w:val="auto"/>
          <w:sz w:val="24"/>
          <w:highlight w:val="none"/>
        </w:rPr>
      </w:pPr>
    </w:p>
    <w:p w14:paraId="40172D9F">
      <w:pPr>
        <w:spacing w:line="360" w:lineRule="auto"/>
        <w:jc w:val="center"/>
        <w:rPr>
          <w:rFonts w:hint="eastAsia" w:ascii="仿宋" w:hAnsi="仿宋" w:eastAsia="仿宋" w:cs="仿宋"/>
          <w:b/>
          <w:bCs/>
          <w:color w:val="auto"/>
          <w:sz w:val="28"/>
          <w:szCs w:val="28"/>
          <w:highlight w:val="none"/>
        </w:rPr>
      </w:pPr>
    </w:p>
    <w:p w14:paraId="109A358F">
      <w:pPr>
        <w:rPr>
          <w:rFonts w:hint="eastAsia" w:ascii="仿宋" w:hAnsi="仿宋" w:eastAsia="仿宋" w:cs="仿宋"/>
          <w:b/>
          <w:bCs/>
          <w:color w:val="auto"/>
          <w:sz w:val="32"/>
          <w:szCs w:val="32"/>
          <w:highlight w:val="none"/>
        </w:rPr>
      </w:pPr>
    </w:p>
    <w:p w14:paraId="780D4D28">
      <w:pPr>
        <w:pStyle w:val="23"/>
        <w:rPr>
          <w:rFonts w:hint="eastAsia"/>
          <w:color w:val="auto"/>
          <w:highlight w:val="none"/>
        </w:rPr>
      </w:pPr>
    </w:p>
    <w:p w14:paraId="5A4DDF9C">
      <w:pPr>
        <w:rPr>
          <w:rFonts w:hint="eastAsia"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br w:type="page"/>
      </w:r>
    </w:p>
    <w:p w14:paraId="76789F53">
      <w:pPr>
        <w:numPr>
          <w:ilvl w:val="0"/>
          <w:numId w:val="0"/>
        </w:numPr>
        <w:spacing w:line="600" w:lineRule="exact"/>
        <w:jc w:val="center"/>
        <w:outlineLvl w:val="1"/>
        <w:rPr>
          <w:rFonts w:hint="eastAsia"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lang w:val="en-US" w:eastAsia="zh-CN"/>
        </w:rPr>
        <w:t>13.</w:t>
      </w:r>
      <w:r>
        <w:rPr>
          <w:rFonts w:hint="eastAsia" w:ascii="仿宋" w:hAnsi="仿宋" w:eastAsia="仿宋" w:cs="仿宋"/>
          <w:b/>
          <w:bCs/>
          <w:color w:val="auto"/>
          <w:spacing w:val="24"/>
          <w:sz w:val="28"/>
          <w:szCs w:val="28"/>
          <w:highlight w:val="none"/>
        </w:rPr>
        <w:t>投标函</w:t>
      </w:r>
    </w:p>
    <w:p w14:paraId="70D7DBF8">
      <w:pPr>
        <w:pStyle w:val="33"/>
        <w:numPr>
          <w:ilvl w:val="0"/>
          <w:numId w:val="0"/>
        </w:numPr>
        <w:rPr>
          <w:rFonts w:hint="eastAsia"/>
          <w:color w:val="auto"/>
          <w:highlight w:val="none"/>
        </w:rPr>
      </w:pPr>
    </w:p>
    <w:p w14:paraId="3B239671">
      <w:pPr>
        <w:pStyle w:val="14"/>
        <w:keepNext w:val="0"/>
        <w:keepLines w:val="0"/>
        <w:pageBreakBefore w:val="0"/>
        <w:widowControl w:val="0"/>
        <w:shd w:val="clear" w:color="auto" w:fill="auto"/>
        <w:kinsoku/>
        <w:wordWrap/>
        <w:overflowPunct/>
        <w:topLinePunct w:val="0"/>
        <w:bidi w:val="0"/>
        <w:snapToGrid/>
        <w:spacing w:before="120" w:after="120" w:line="44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致：</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（招标采购单位名称）：</w:t>
      </w:r>
    </w:p>
    <w:p w14:paraId="3653EC1A">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590" w:firstLineChars="245"/>
        <w:textAlignment w:val="auto"/>
        <w:rPr>
          <w:rFonts w:hint="eastAsia" w:ascii="仿宋" w:hAnsi="仿宋" w:eastAsia="仿宋" w:cs="仿宋"/>
          <w:color w:val="auto"/>
          <w:sz w:val="24"/>
          <w:szCs w:val="24"/>
          <w:highlight w:val="none"/>
          <w:lang w:val="zh-CN"/>
        </w:rPr>
      </w:pPr>
      <w:r>
        <w:rPr>
          <w:rFonts w:hint="eastAsia" w:ascii="仿宋" w:hAnsi="仿宋" w:eastAsia="仿宋" w:cs="仿宋"/>
          <w:b/>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（供应商全称）授权</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 xml:space="preserve"> （授权代表名称）</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（职务、职称）为授权代表，参加贵方组织的</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（采购项目名称）（括号内填项目编号）采购的有关活动，并对</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 xml:space="preserve">项目（采购项目名称）进行投标。为此：    </w:t>
      </w:r>
    </w:p>
    <w:p w14:paraId="2A279B87">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1、供应商提供须知规定的全部投标文件（电子投标文件、数据电子备份投标文件（U盘）），包括《资格文件》、《技术、商务、资信及其他文件》、《报价文件》，其中数据电子备份投标文件（U盘）各</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份，应与电子投标文件内容、格式一致；电子投标文件确认已上传</w:t>
      </w:r>
      <w:r>
        <w:rPr>
          <w:rFonts w:hint="eastAsia" w:ascii="仿宋" w:hAnsi="仿宋" w:eastAsia="仿宋" w:cs="仿宋"/>
          <w:color w:val="auto"/>
          <w:sz w:val="24"/>
          <w:szCs w:val="24"/>
          <w:highlight w:val="none"/>
        </w:rPr>
        <w:t>。</w:t>
      </w:r>
    </w:p>
    <w:p w14:paraId="2B161530">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2、保证遵守招标文件中的有关规定和收费标准。</w:t>
      </w:r>
    </w:p>
    <w:p w14:paraId="51E06E72">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3、保证诚信地执行采购人、供应商双方所签的合同，并承担合同规定的责任义务。</w:t>
      </w:r>
    </w:p>
    <w:p w14:paraId="25A3FF78">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4、供应商已详细审查全部招标文件，包括招标文件补充文件（如果有的话）。我方完全理解并同意放弃对这方面有不明及误解的权力。如果招标文件有相互矛盾之处，我方同意按采购人的理解处理。</w:t>
      </w:r>
    </w:p>
    <w:p w14:paraId="2185959F">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5、利益冲突：近三年内直至目前，我公司与本项目的采购人、采购机构没有任何的隶属关系。</w:t>
      </w:r>
    </w:p>
    <w:p w14:paraId="039C4E20">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6、我公司没有被本项目所在地的政府采购管理部门限制参加报价。</w:t>
      </w:r>
    </w:p>
    <w:p w14:paraId="40D4232D">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7、愿意向贵方提供任何与该项报价有关的数据、情况和技术资料，完全理解贵方不一定接受最低价的报价或收到的任何报价。</w:t>
      </w:r>
    </w:p>
    <w:p w14:paraId="375257CE">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8、本报价文件自报价之日起</w:t>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val="zh-CN"/>
        </w:rPr>
        <w:t>0天内有效。</w:t>
      </w:r>
    </w:p>
    <w:p w14:paraId="75F2717B">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9、兹证明上述声明是真实的、正确的，并提供了全部能提供的资料和数据，我们同意遵照贵方要求出示有关证明文件。</w:t>
      </w:r>
    </w:p>
    <w:p w14:paraId="72C2E015">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以上事项如有虚假或隐瞒，我方愿意承担一切后果，并不再寻求任何旨在减轻或免除法律责任的辩解。</w:t>
      </w:r>
    </w:p>
    <w:p w14:paraId="0CDA5BA1">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供应商全称（盖章）：</w:t>
      </w:r>
    </w:p>
    <w:p w14:paraId="1D121580">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法定代表人（签字或盖章）：         </w:t>
      </w:r>
    </w:p>
    <w:p w14:paraId="3A7DD90D">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color w:val="auto"/>
          <w:highlight w:val="none"/>
          <w:lang w:val="en-US" w:eastAsia="zh-CN"/>
        </w:rPr>
      </w:pPr>
      <w:r>
        <w:rPr>
          <w:rFonts w:hint="eastAsia" w:ascii="仿宋" w:hAnsi="仿宋" w:eastAsia="仿宋" w:cs="仿宋"/>
          <w:color w:val="auto"/>
          <w:sz w:val="24"/>
          <w:szCs w:val="24"/>
          <w:highlight w:val="none"/>
          <w:lang w:val="zh-CN"/>
        </w:rPr>
        <w:t>日   期：</w:t>
      </w:r>
    </w:p>
    <w:p w14:paraId="5AFCF2B9">
      <w:pPr>
        <w:snapToGrid w:val="0"/>
        <w:spacing w:before="50" w:after="50"/>
        <w:jc w:val="center"/>
        <w:outlineLvl w:val="9"/>
        <w:rPr>
          <w:rFonts w:hint="eastAsia" w:ascii="仿宋" w:hAnsi="仿宋" w:eastAsia="仿宋" w:cs="宋体"/>
          <w:b/>
          <w:bCs/>
          <w:color w:val="auto"/>
          <w:sz w:val="32"/>
          <w:szCs w:val="32"/>
          <w:highlight w:val="none"/>
          <w:lang w:val="en-US" w:eastAsia="zh-CN"/>
        </w:rPr>
      </w:pPr>
    </w:p>
    <w:p w14:paraId="08205A40">
      <w:pPr>
        <w:snapToGrid w:val="0"/>
        <w:spacing w:before="50" w:after="50"/>
        <w:jc w:val="center"/>
        <w:outlineLvl w:val="9"/>
        <w:rPr>
          <w:rFonts w:hint="eastAsia" w:ascii="仿宋" w:hAnsi="仿宋" w:eastAsia="仿宋" w:cs="宋体"/>
          <w:b/>
          <w:bCs/>
          <w:color w:val="auto"/>
          <w:sz w:val="32"/>
          <w:szCs w:val="32"/>
          <w:highlight w:val="none"/>
          <w:lang w:val="en-US" w:eastAsia="zh-CN"/>
        </w:rPr>
      </w:pPr>
    </w:p>
    <w:p w14:paraId="1493A8BD">
      <w:pPr>
        <w:snapToGrid w:val="0"/>
        <w:spacing w:before="50" w:after="50"/>
        <w:jc w:val="center"/>
        <w:outlineLvl w:val="1"/>
        <w:rPr>
          <w:rFonts w:hint="eastAsia" w:ascii="仿宋" w:hAnsi="仿宋" w:eastAsia="仿宋" w:cs="宋体"/>
          <w:b/>
          <w:bCs/>
          <w:color w:val="auto"/>
          <w:sz w:val="32"/>
          <w:szCs w:val="32"/>
          <w:highlight w:val="none"/>
          <w:lang w:eastAsia="zh-CN"/>
        </w:rPr>
      </w:pPr>
      <w:r>
        <w:rPr>
          <w:rFonts w:hint="eastAsia" w:ascii="仿宋" w:hAnsi="仿宋" w:eastAsia="仿宋" w:cs="宋体"/>
          <w:b/>
          <w:bCs/>
          <w:color w:val="auto"/>
          <w:sz w:val="32"/>
          <w:szCs w:val="32"/>
          <w:highlight w:val="none"/>
          <w:lang w:val="en-US" w:eastAsia="zh-CN"/>
        </w:rPr>
        <w:t>14.</w:t>
      </w:r>
      <w:r>
        <w:rPr>
          <w:rFonts w:hint="eastAsia" w:ascii="仿宋" w:hAnsi="仿宋" w:eastAsia="仿宋" w:cs="宋体"/>
          <w:b/>
          <w:bCs/>
          <w:color w:val="auto"/>
          <w:sz w:val="32"/>
          <w:szCs w:val="32"/>
          <w:highlight w:val="none"/>
        </w:rPr>
        <w:t>开标一览表</w:t>
      </w:r>
    </w:p>
    <w:p w14:paraId="2EB27BED">
      <w:pPr>
        <w:snapToGrid w:val="0"/>
        <w:spacing w:before="50" w:after="50" w:line="360" w:lineRule="auto"/>
        <w:jc w:val="left"/>
        <w:rPr>
          <w:rFonts w:hint="eastAsia" w:ascii="仿宋" w:hAnsi="仿宋" w:eastAsia="仿宋" w:cs="宋体"/>
          <w:color w:val="auto"/>
          <w:sz w:val="24"/>
          <w:highlight w:val="none"/>
        </w:rPr>
      </w:pPr>
    </w:p>
    <w:p w14:paraId="457EEEF4">
      <w:pPr>
        <w:snapToGrid w:val="0"/>
        <w:spacing w:before="50" w:after="50" w:line="360" w:lineRule="auto"/>
        <w:jc w:val="left"/>
        <w:rPr>
          <w:rFonts w:ascii="仿宋" w:hAnsi="仿宋" w:eastAsia="仿宋" w:cs="宋体"/>
          <w:color w:val="auto"/>
          <w:sz w:val="24"/>
          <w:highlight w:val="none"/>
        </w:rPr>
      </w:pPr>
      <w:r>
        <w:rPr>
          <w:rFonts w:hint="eastAsia" w:ascii="仿宋" w:hAnsi="仿宋" w:eastAsia="仿宋" w:cs="宋体"/>
          <w:color w:val="auto"/>
          <w:sz w:val="24"/>
          <w:highlight w:val="none"/>
        </w:rPr>
        <w:t xml:space="preserve">投标人全称（加盖公章）：                           </w:t>
      </w:r>
    </w:p>
    <w:tbl>
      <w:tblPr>
        <w:tblStyle w:val="24"/>
        <w:tblW w:w="957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8211"/>
      </w:tblGrid>
      <w:tr w14:paraId="7C4E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8" w:type="dxa"/>
            <w:tcBorders>
              <w:top w:val="single" w:color="auto" w:sz="4" w:space="0"/>
            </w:tcBorders>
            <w:noWrap/>
            <w:vAlign w:val="center"/>
          </w:tcPr>
          <w:p w14:paraId="0709CB7B">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8211" w:type="dxa"/>
            <w:tcBorders>
              <w:top w:val="single" w:color="auto" w:sz="4" w:space="0"/>
              <w:bottom w:val="single" w:color="auto" w:sz="4" w:space="0"/>
            </w:tcBorders>
            <w:noWrap/>
            <w:vAlign w:val="center"/>
          </w:tcPr>
          <w:p w14:paraId="53E266B5">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lang w:val="en-US" w:eastAsia="zh-CN"/>
              </w:rPr>
            </w:pPr>
            <w:r>
              <w:rPr>
                <w:rFonts w:hint="eastAsia" w:ascii="仿宋" w:hAnsi="仿宋" w:eastAsia="仿宋" w:cs="宋体"/>
                <w:bCs/>
                <w:color w:val="auto"/>
                <w:sz w:val="24"/>
                <w:highlight w:val="none"/>
                <w:lang w:eastAsia="zh-CN"/>
              </w:rPr>
              <w:t>湖州南太湖新区道路交通安全隐患综合治理服务项目（2025-2026年度）</w:t>
            </w:r>
          </w:p>
        </w:tc>
      </w:tr>
      <w:tr w14:paraId="609D5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368" w:type="dxa"/>
            <w:tcBorders>
              <w:top w:val="single" w:color="auto" w:sz="4" w:space="0"/>
            </w:tcBorders>
            <w:noWrap/>
            <w:vAlign w:val="center"/>
          </w:tcPr>
          <w:p w14:paraId="64E1FE53">
            <w:pPr>
              <w:keepNext w:val="0"/>
              <w:keepLines w:val="0"/>
              <w:suppressLineNumbers w:val="0"/>
              <w:autoSpaceDE w:val="0"/>
              <w:autoSpaceDN w:val="0"/>
              <w:adjustRightInd w:val="0"/>
              <w:spacing w:before="0" w:beforeAutospacing="0" w:after="0" w:afterAutospacing="0" w:line="60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lang w:val="zh-CN"/>
              </w:rPr>
              <w:t>项目编号</w:t>
            </w:r>
          </w:p>
        </w:tc>
        <w:tc>
          <w:tcPr>
            <w:tcW w:w="8211" w:type="dxa"/>
            <w:tcBorders>
              <w:top w:val="single" w:color="auto" w:sz="4" w:space="0"/>
              <w:bottom w:val="single" w:color="auto" w:sz="4" w:space="0"/>
            </w:tcBorders>
            <w:noWrap/>
            <w:vAlign w:val="center"/>
          </w:tcPr>
          <w:p w14:paraId="702D49A2">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lang w:val="en-US" w:eastAsia="zh-CN"/>
              </w:rPr>
            </w:pPr>
          </w:p>
        </w:tc>
      </w:tr>
      <w:tr w14:paraId="30856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368" w:type="dxa"/>
            <w:tcBorders>
              <w:top w:val="single" w:color="auto" w:sz="4" w:space="0"/>
            </w:tcBorders>
            <w:noWrap/>
            <w:vAlign w:val="center"/>
          </w:tcPr>
          <w:p w14:paraId="2F99613F">
            <w:pPr>
              <w:keepNext w:val="0"/>
              <w:keepLines w:val="0"/>
              <w:suppressLineNumbers w:val="0"/>
              <w:autoSpaceDE w:val="0"/>
              <w:autoSpaceDN w:val="0"/>
              <w:adjustRightInd w:val="0"/>
              <w:spacing w:before="0" w:beforeAutospacing="0" w:after="0" w:afterAutospacing="0" w:line="600" w:lineRule="exact"/>
              <w:ind w:left="0" w:right="0"/>
              <w:jc w:val="center"/>
              <w:rPr>
                <w:rFonts w:hint="eastAsia" w:ascii="仿宋" w:hAnsi="仿宋" w:eastAsia="仿宋" w:cs="仿宋"/>
                <w:color w:val="auto"/>
                <w:sz w:val="24"/>
                <w:highlight w:val="none"/>
                <w:lang w:val="zh-CN"/>
              </w:rPr>
            </w:pPr>
            <w:r>
              <w:rPr>
                <w:rFonts w:hint="eastAsia" w:ascii="仿宋" w:hAnsi="仿宋" w:eastAsia="仿宋" w:cs="宋体"/>
                <w:color w:val="auto"/>
                <w:sz w:val="24"/>
                <w:highlight w:val="none"/>
                <w:lang w:val="en-US" w:eastAsia="zh-CN"/>
              </w:rPr>
              <w:t>标项</w:t>
            </w:r>
          </w:p>
        </w:tc>
        <w:tc>
          <w:tcPr>
            <w:tcW w:w="8211" w:type="dxa"/>
            <w:tcBorders>
              <w:top w:val="single" w:color="auto" w:sz="4" w:space="0"/>
              <w:bottom w:val="single" w:color="auto" w:sz="4" w:space="0"/>
            </w:tcBorders>
            <w:noWrap/>
            <w:vAlign w:val="center"/>
          </w:tcPr>
          <w:p w14:paraId="25FA0A06">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lang w:val="en-US" w:eastAsia="zh-CN"/>
              </w:rPr>
            </w:pPr>
          </w:p>
        </w:tc>
      </w:tr>
      <w:tr w14:paraId="4B14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 w:hRule="atLeast"/>
        </w:trPr>
        <w:tc>
          <w:tcPr>
            <w:tcW w:w="1368" w:type="dxa"/>
            <w:noWrap/>
            <w:vAlign w:val="center"/>
          </w:tcPr>
          <w:p w14:paraId="1A1AA746">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lang w:val="en-US" w:eastAsia="zh-CN"/>
              </w:rPr>
              <w:t>投标</w:t>
            </w:r>
            <w:r>
              <w:rPr>
                <w:rFonts w:hint="eastAsia" w:ascii="仿宋" w:hAnsi="仿宋" w:eastAsia="仿宋" w:cs="仿宋"/>
                <w:color w:val="auto"/>
                <w:sz w:val="24"/>
                <w:highlight w:val="none"/>
              </w:rPr>
              <w:t>报价</w:t>
            </w:r>
            <w:r>
              <w:rPr>
                <w:rFonts w:hint="eastAsia" w:ascii="仿宋" w:hAnsi="仿宋" w:eastAsia="仿宋" w:cs="仿宋"/>
                <w:color w:val="auto"/>
                <w:sz w:val="24"/>
                <w:highlight w:val="none"/>
                <w:lang w:val="en-US" w:eastAsia="zh-CN"/>
              </w:rPr>
              <w:t>（折扣：%）</w:t>
            </w:r>
          </w:p>
        </w:tc>
        <w:tc>
          <w:tcPr>
            <w:tcW w:w="8211" w:type="dxa"/>
            <w:tcBorders>
              <w:top w:val="single" w:color="auto" w:sz="4" w:space="0"/>
              <w:bottom w:val="single" w:color="auto" w:sz="4" w:space="0"/>
            </w:tcBorders>
            <w:noWrap/>
            <w:vAlign w:val="center"/>
          </w:tcPr>
          <w:p w14:paraId="577A7680">
            <w:pPr>
              <w:keepNext w:val="0"/>
              <w:keepLines w:val="0"/>
              <w:suppressLineNumbers w:val="0"/>
              <w:spacing w:before="0" w:beforeAutospacing="0" w:after="0" w:afterAutospacing="0" w:line="540" w:lineRule="exact"/>
              <w:ind w:left="0" w:right="0"/>
              <w:jc w:val="left"/>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小写：</w:t>
            </w:r>
            <w:r>
              <w:rPr>
                <w:rFonts w:hint="eastAsia" w:ascii="仿宋" w:hAnsi="仿宋" w:eastAsia="仿宋" w:cs="仿宋"/>
                <w:color w:val="auto"/>
                <w:sz w:val="24"/>
                <w:highlight w:val="none"/>
                <w:u w:val="single"/>
                <w:lang w:val="en-US" w:eastAsia="zh-CN"/>
              </w:rPr>
              <w:t xml:space="preserve">                </w:t>
            </w:r>
          </w:p>
          <w:p w14:paraId="19318ACD">
            <w:pPr>
              <w:keepNext w:val="0"/>
              <w:keepLines w:val="0"/>
              <w:suppressLineNumbers w:val="0"/>
              <w:spacing w:before="0" w:beforeAutospacing="0" w:after="0" w:afterAutospacing="0" w:line="540" w:lineRule="exact"/>
              <w:ind w:left="0" w:right="0"/>
              <w:jc w:val="left"/>
              <w:rPr>
                <w:rFonts w:hint="default" w:ascii="仿宋" w:hAnsi="仿宋" w:eastAsia="仿宋" w:cs="仿宋"/>
                <w:bCs/>
                <w:color w:val="auto"/>
                <w:kern w:val="0"/>
                <w:sz w:val="24"/>
                <w:highlight w:val="none"/>
                <w:u w:val="single"/>
                <w:lang w:val="en-US" w:eastAsia="zh-CN"/>
              </w:rPr>
            </w:pPr>
            <w:r>
              <w:rPr>
                <w:rFonts w:hint="eastAsia" w:ascii="仿宋" w:hAnsi="仿宋" w:eastAsia="仿宋" w:cs="仿宋"/>
                <w:color w:val="auto"/>
                <w:sz w:val="24"/>
                <w:highlight w:val="none"/>
              </w:rPr>
              <w:t>大写：</w:t>
            </w:r>
            <w:r>
              <w:rPr>
                <w:rFonts w:hint="eastAsia" w:ascii="仿宋" w:hAnsi="仿宋" w:eastAsia="仿宋" w:cs="仿宋"/>
                <w:color w:val="auto"/>
                <w:sz w:val="24"/>
                <w:highlight w:val="none"/>
                <w:u w:val="single"/>
                <w:lang w:val="en-US" w:eastAsia="zh-CN"/>
              </w:rPr>
              <w:t xml:space="preserve">                </w:t>
            </w:r>
          </w:p>
        </w:tc>
      </w:tr>
    </w:tbl>
    <w:p w14:paraId="617CA242">
      <w:pPr>
        <w:rPr>
          <w:rFonts w:ascii="仿宋" w:hAnsi="仿宋" w:eastAsia="仿宋"/>
          <w:color w:val="auto"/>
          <w:highlight w:val="none"/>
        </w:rPr>
      </w:pPr>
    </w:p>
    <w:p w14:paraId="66432E79">
      <w:pPr>
        <w:pStyle w:val="14"/>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仿宋" w:hAnsi="仿宋" w:eastAsia="仿宋" w:cs="仿宋"/>
          <w:b w:val="0"/>
          <w:bCs/>
          <w:color w:val="auto"/>
          <w:highlight w:val="none"/>
        </w:rPr>
      </w:pPr>
      <w:r>
        <w:rPr>
          <w:rFonts w:hint="eastAsia" w:ascii="仿宋" w:hAnsi="仿宋" w:eastAsia="仿宋" w:cs="仿宋"/>
          <w:b w:val="0"/>
          <w:bCs/>
          <w:color w:val="auto"/>
          <w:highlight w:val="none"/>
        </w:rPr>
        <w:t>注: 1、报价一经涂改，应在涂改处加盖单位公章或者由法定代表人或授权委托人签字或盖章，否则其投标作无效标处理。</w:t>
      </w:r>
    </w:p>
    <w:p w14:paraId="02B99871">
      <w:pPr>
        <w:pStyle w:val="14"/>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仿宋" w:hAnsi="仿宋" w:eastAsia="仿宋" w:cs="仿宋"/>
          <w:b w:val="0"/>
          <w:bCs/>
          <w:color w:val="auto"/>
          <w:highlight w:val="none"/>
        </w:rPr>
      </w:pPr>
      <w:r>
        <w:rPr>
          <w:rFonts w:hint="eastAsia" w:ascii="仿宋" w:hAnsi="仿宋" w:eastAsia="仿宋" w:cs="仿宋"/>
          <w:b w:val="0"/>
          <w:bCs/>
          <w:color w:val="auto"/>
          <w:highlight w:val="none"/>
        </w:rPr>
        <w:t>2、项目费用包括项目实施所需的工程费、工时费、服务费、运输费、购买及制作标书费、税费及其他一切费用。</w:t>
      </w:r>
    </w:p>
    <w:p w14:paraId="471E3835">
      <w:pPr>
        <w:pStyle w:val="14"/>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仿宋" w:hAnsi="仿宋" w:eastAsia="仿宋" w:cs="仿宋"/>
          <w:b w:val="0"/>
          <w:bCs/>
          <w:color w:val="auto"/>
          <w:highlight w:val="none"/>
        </w:rPr>
      </w:pPr>
      <w:r>
        <w:rPr>
          <w:rFonts w:hint="eastAsia" w:ascii="仿宋" w:hAnsi="仿宋" w:eastAsia="仿宋" w:cs="仿宋"/>
          <w:b w:val="0"/>
          <w:bCs/>
          <w:color w:val="auto"/>
          <w:highlight w:val="none"/>
        </w:rPr>
        <w:t>3、本项目结算按审计单位核准价格的95%为上限价，各投标单位在不超过核准价95%的基础下进行优惠报价。但凡超大于（或等于）95%限价的，均作无效标处理。</w:t>
      </w:r>
    </w:p>
    <w:p w14:paraId="097C9592">
      <w:pPr>
        <w:pStyle w:val="14"/>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仿宋" w:hAnsi="仿宋" w:cs="宋体"/>
          <w:color w:val="auto"/>
          <w:sz w:val="24"/>
          <w:highlight w:val="none"/>
        </w:rPr>
      </w:pPr>
      <w:r>
        <w:rPr>
          <w:rFonts w:hint="eastAsia" w:ascii="仿宋" w:hAnsi="仿宋" w:eastAsia="仿宋" w:cs="仿宋"/>
          <w:b w:val="0"/>
          <w:bCs/>
          <w:color w:val="auto"/>
          <w:highlight w:val="none"/>
        </w:rPr>
        <w:t>4、折扣，指买卖货物时按原价的若干成计价，如按九成，叫九折或九扣（在报价中显示为90%）。</w:t>
      </w:r>
    </w:p>
    <w:p w14:paraId="3BCF8837">
      <w:pPr>
        <w:rPr>
          <w:rFonts w:ascii="仿宋" w:hAnsi="仿宋" w:eastAsia="仿宋" w:cs="宋体"/>
          <w:color w:val="auto"/>
          <w:sz w:val="24"/>
          <w:highlight w:val="none"/>
        </w:rPr>
      </w:pPr>
    </w:p>
    <w:p w14:paraId="1110A9DE">
      <w:pPr>
        <w:rPr>
          <w:rFonts w:ascii="仿宋" w:hAnsi="仿宋" w:eastAsia="仿宋" w:cs="宋体"/>
          <w:color w:val="auto"/>
          <w:sz w:val="24"/>
          <w:highlight w:val="none"/>
        </w:rPr>
      </w:pPr>
    </w:p>
    <w:p w14:paraId="64C3E675">
      <w:pPr>
        <w:rPr>
          <w:rFonts w:ascii="仿宋" w:hAnsi="仿宋" w:eastAsia="仿宋" w:cs="宋体"/>
          <w:color w:val="auto"/>
          <w:sz w:val="24"/>
          <w:highlight w:val="none"/>
        </w:rPr>
      </w:pPr>
      <w:r>
        <w:rPr>
          <w:rFonts w:hint="eastAsia" w:ascii="仿宋" w:hAnsi="仿宋" w:eastAsia="仿宋" w:cs="宋体"/>
          <w:color w:val="auto"/>
          <w:sz w:val="24"/>
          <w:highlight w:val="none"/>
        </w:rPr>
        <w:t>法定代表人或</w:t>
      </w:r>
      <w:r>
        <w:rPr>
          <w:rFonts w:hint="eastAsia" w:ascii="仿宋" w:hAnsi="仿宋" w:eastAsia="仿宋" w:cs="宋体"/>
          <w:color w:val="auto"/>
          <w:sz w:val="24"/>
          <w:highlight w:val="none"/>
          <w:lang w:eastAsia="zh-CN"/>
        </w:rPr>
        <w:t>授权代理人</w:t>
      </w:r>
      <w:r>
        <w:rPr>
          <w:rFonts w:hint="eastAsia" w:ascii="仿宋" w:hAnsi="仿宋" w:eastAsia="仿宋" w:cs="宋体"/>
          <w:color w:val="auto"/>
          <w:sz w:val="24"/>
          <w:highlight w:val="none"/>
        </w:rPr>
        <w:t>签字</w:t>
      </w:r>
      <w:r>
        <w:rPr>
          <w:rFonts w:hint="eastAsia" w:ascii="仿宋" w:hAnsi="仿宋" w:eastAsia="仿宋" w:cs="宋体"/>
          <w:color w:val="auto"/>
          <w:sz w:val="24"/>
          <w:highlight w:val="none"/>
          <w:lang w:eastAsia="zh-CN"/>
        </w:rPr>
        <w:t>或盖章</w:t>
      </w:r>
      <w:r>
        <w:rPr>
          <w:rFonts w:hint="eastAsia" w:ascii="仿宋" w:hAnsi="仿宋" w:eastAsia="仿宋" w:cs="宋体"/>
          <w:color w:val="auto"/>
          <w:sz w:val="24"/>
          <w:highlight w:val="none"/>
        </w:rPr>
        <w:t>：</w:t>
      </w:r>
    </w:p>
    <w:p w14:paraId="1698A37D">
      <w:pPr>
        <w:rPr>
          <w:rFonts w:ascii="仿宋" w:hAnsi="仿宋" w:eastAsia="仿宋" w:cs="宋体"/>
          <w:color w:val="auto"/>
          <w:sz w:val="24"/>
          <w:highlight w:val="none"/>
        </w:rPr>
      </w:pPr>
    </w:p>
    <w:p w14:paraId="4BDD4DDC">
      <w:pPr>
        <w:rPr>
          <w:rFonts w:hint="eastAsia" w:ascii="仿宋" w:hAnsi="仿宋" w:eastAsia="仿宋" w:cs="宋体"/>
          <w:color w:val="auto"/>
          <w:sz w:val="24"/>
          <w:highlight w:val="none"/>
        </w:rPr>
      </w:pPr>
      <w:r>
        <w:rPr>
          <w:rFonts w:hint="eastAsia" w:ascii="仿宋" w:hAnsi="仿宋" w:eastAsia="仿宋" w:cs="宋体"/>
          <w:color w:val="auto"/>
          <w:sz w:val="24"/>
          <w:highlight w:val="none"/>
        </w:rPr>
        <w:t xml:space="preserve">   </w:t>
      </w:r>
      <w:r>
        <w:rPr>
          <w:rFonts w:hint="eastAsia" w:ascii="仿宋" w:hAnsi="仿宋" w:eastAsia="仿宋" w:cs="宋体"/>
          <w:color w:val="auto"/>
          <w:sz w:val="24"/>
          <w:highlight w:val="none"/>
          <w:lang w:eastAsia="zh-CN"/>
        </w:rPr>
        <w:t>日期：</w:t>
      </w:r>
      <w:r>
        <w:rPr>
          <w:rFonts w:hint="eastAsia" w:ascii="仿宋" w:hAnsi="仿宋" w:eastAsia="仿宋" w:cs="宋体"/>
          <w:color w:val="auto"/>
          <w:sz w:val="24"/>
          <w:highlight w:val="none"/>
          <w:lang w:val="en-US" w:eastAsia="zh-CN"/>
        </w:rPr>
        <w:t xml:space="preserve">  </w:t>
      </w:r>
      <w:r>
        <w:rPr>
          <w:rFonts w:hint="eastAsia" w:ascii="仿宋" w:hAnsi="仿宋" w:eastAsia="仿宋" w:cs="宋体"/>
          <w:color w:val="auto"/>
          <w:sz w:val="24"/>
          <w:highlight w:val="none"/>
        </w:rPr>
        <w:t>年   月   日</w:t>
      </w:r>
    </w:p>
    <w:p w14:paraId="4EC5B8A5">
      <w:pPr>
        <w:spacing w:line="360" w:lineRule="auto"/>
        <w:jc w:val="center"/>
        <w:outlineLvl w:val="9"/>
        <w:rPr>
          <w:rFonts w:hint="eastAsia" w:ascii="仿宋" w:hAnsi="仿宋" w:eastAsia="仿宋" w:cs="仿宋"/>
          <w:b/>
          <w:bCs/>
          <w:color w:val="auto"/>
          <w:sz w:val="28"/>
          <w:szCs w:val="28"/>
          <w:highlight w:val="none"/>
          <w:lang w:val="en-US" w:eastAsia="zh-CN"/>
        </w:rPr>
      </w:pPr>
    </w:p>
    <w:p w14:paraId="130E0981">
      <w:pPr>
        <w:spacing w:line="360" w:lineRule="auto"/>
        <w:jc w:val="center"/>
        <w:outlineLvl w:val="9"/>
        <w:rPr>
          <w:rFonts w:hint="eastAsia" w:ascii="仿宋" w:hAnsi="仿宋" w:eastAsia="仿宋" w:cs="仿宋"/>
          <w:b/>
          <w:bCs/>
          <w:color w:val="auto"/>
          <w:sz w:val="28"/>
          <w:szCs w:val="28"/>
          <w:highlight w:val="none"/>
          <w:lang w:val="en-US" w:eastAsia="zh-CN"/>
        </w:rPr>
      </w:pPr>
    </w:p>
    <w:p w14:paraId="36E438D5">
      <w:pPr>
        <w:spacing w:line="360" w:lineRule="auto"/>
        <w:jc w:val="center"/>
        <w:outlineLvl w:val="9"/>
        <w:rPr>
          <w:rFonts w:hint="eastAsia" w:ascii="仿宋" w:hAnsi="仿宋" w:eastAsia="仿宋" w:cs="仿宋"/>
          <w:b/>
          <w:bCs/>
          <w:color w:val="auto"/>
          <w:sz w:val="28"/>
          <w:szCs w:val="28"/>
          <w:highlight w:val="none"/>
          <w:lang w:val="en-US" w:eastAsia="zh-CN"/>
        </w:rPr>
      </w:pPr>
    </w:p>
    <w:p w14:paraId="3AFD5905">
      <w:pPr>
        <w:spacing w:line="360" w:lineRule="auto"/>
        <w:jc w:val="center"/>
        <w:outlineLvl w:val="9"/>
        <w:rPr>
          <w:rFonts w:hint="eastAsia" w:ascii="仿宋" w:hAnsi="仿宋" w:eastAsia="仿宋" w:cs="仿宋"/>
          <w:b/>
          <w:bCs/>
          <w:color w:val="auto"/>
          <w:sz w:val="28"/>
          <w:szCs w:val="28"/>
          <w:highlight w:val="none"/>
          <w:lang w:val="en-US" w:eastAsia="zh-CN"/>
        </w:rPr>
      </w:pPr>
    </w:p>
    <w:p w14:paraId="7850153B">
      <w:pPr>
        <w:spacing w:line="360" w:lineRule="auto"/>
        <w:jc w:val="both"/>
        <w:outlineLvl w:val="9"/>
        <w:rPr>
          <w:rFonts w:hint="eastAsia" w:ascii="仿宋" w:hAnsi="仿宋" w:eastAsia="仿宋" w:cs="仿宋"/>
          <w:b/>
          <w:bCs/>
          <w:color w:val="auto"/>
          <w:sz w:val="28"/>
          <w:szCs w:val="28"/>
          <w:highlight w:val="none"/>
          <w:lang w:val="en-US" w:eastAsia="zh-CN"/>
        </w:rPr>
      </w:pPr>
    </w:p>
    <w:p w14:paraId="018AD494">
      <w:pPr>
        <w:spacing w:line="360" w:lineRule="auto"/>
        <w:jc w:val="both"/>
        <w:outlineLvl w:val="9"/>
        <w:rPr>
          <w:rFonts w:hint="eastAsia" w:ascii="仿宋" w:hAnsi="仿宋" w:eastAsia="仿宋" w:cs="仿宋"/>
          <w:b/>
          <w:bCs/>
          <w:color w:val="auto"/>
          <w:sz w:val="28"/>
          <w:szCs w:val="28"/>
          <w:highlight w:val="none"/>
          <w:lang w:val="en-US" w:eastAsia="zh-CN"/>
        </w:rPr>
      </w:pPr>
    </w:p>
    <w:p w14:paraId="28E632E5">
      <w:pPr>
        <w:spacing w:line="360" w:lineRule="auto"/>
        <w:jc w:val="both"/>
        <w:rPr>
          <w:rFonts w:hint="eastAsia" w:ascii="仿宋" w:hAnsi="仿宋" w:eastAsia="仿宋" w:cs="仿宋"/>
          <w:b/>
          <w:bCs/>
          <w:color w:val="auto"/>
          <w:sz w:val="28"/>
          <w:szCs w:val="28"/>
          <w:highlight w:val="none"/>
        </w:rPr>
      </w:pPr>
    </w:p>
    <w:p w14:paraId="6470EDA3">
      <w:pPr>
        <w:spacing w:line="360" w:lineRule="auto"/>
        <w:jc w:val="center"/>
        <w:rPr>
          <w:rFonts w:hint="eastAsia" w:ascii="仿宋" w:hAnsi="仿宋" w:eastAsia="仿宋" w:cs="仿宋"/>
          <w:b/>
          <w:bCs/>
          <w:color w:val="auto"/>
          <w:sz w:val="28"/>
          <w:szCs w:val="28"/>
          <w:highlight w:val="none"/>
        </w:rPr>
      </w:pPr>
    </w:p>
    <w:p w14:paraId="2E1D181A">
      <w:pPr>
        <w:snapToGrid w:val="0"/>
        <w:spacing w:before="50" w:after="50"/>
        <w:jc w:val="center"/>
        <w:outlineLvl w:val="1"/>
        <w:rPr>
          <w:rFonts w:hint="eastAsia" w:ascii="仿宋" w:hAnsi="仿宋" w:eastAsia="仿宋" w:cs="宋体"/>
          <w:b/>
          <w:bCs/>
          <w:color w:val="auto"/>
          <w:sz w:val="32"/>
          <w:szCs w:val="32"/>
          <w:highlight w:val="none"/>
          <w:lang w:val="en-US" w:eastAsia="zh-CN"/>
        </w:rPr>
      </w:pPr>
      <w:r>
        <w:rPr>
          <w:rFonts w:hint="eastAsia" w:ascii="仿宋" w:hAnsi="仿宋" w:eastAsia="仿宋" w:cs="宋体"/>
          <w:b/>
          <w:bCs/>
          <w:color w:val="auto"/>
          <w:sz w:val="32"/>
          <w:szCs w:val="32"/>
          <w:highlight w:val="none"/>
          <w:lang w:val="en-US" w:eastAsia="zh-CN"/>
        </w:rPr>
        <w:t>15.招标代理服务费承诺函</w:t>
      </w:r>
    </w:p>
    <w:p w14:paraId="34F725FA">
      <w:pPr>
        <w:pStyle w:val="7"/>
        <w:spacing w:line="500" w:lineRule="exact"/>
        <w:jc w:val="center"/>
        <w:rPr>
          <w:rFonts w:hint="eastAsia" w:ascii="仿宋" w:hAnsi="仿宋" w:eastAsia="仿宋" w:cs="仿宋"/>
          <w:b/>
          <w:color w:val="auto"/>
          <w:sz w:val="28"/>
          <w:szCs w:val="28"/>
          <w:highlight w:val="none"/>
        </w:rPr>
      </w:pPr>
    </w:p>
    <w:p w14:paraId="14034B31">
      <w:pPr>
        <w:pStyle w:val="7"/>
        <w:spacing w:line="720" w:lineRule="exact"/>
        <w:ind w:firstLine="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浙江新诚信工程咨询有限公司</w:t>
      </w:r>
      <w:r>
        <w:rPr>
          <w:rFonts w:hint="eastAsia" w:ascii="仿宋" w:hAnsi="仿宋" w:eastAsia="仿宋" w:cs="仿宋"/>
          <w:color w:val="auto"/>
          <w:sz w:val="24"/>
          <w:highlight w:val="none"/>
        </w:rPr>
        <w:t>：</w:t>
      </w:r>
    </w:p>
    <w:p w14:paraId="163E4DB0">
      <w:pPr>
        <w:pStyle w:val="7"/>
        <w:spacing w:line="72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根据</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文件的规定，一旦我公司</w:t>
      </w:r>
      <w:r>
        <w:rPr>
          <w:rFonts w:hint="eastAsia" w:ascii="仿宋" w:hAnsi="仿宋" w:eastAsia="仿宋" w:cs="仿宋"/>
          <w:color w:val="auto"/>
          <w:sz w:val="24"/>
          <w:highlight w:val="none"/>
          <w:lang w:eastAsia="zh-CN"/>
        </w:rPr>
        <w:t>中标</w:t>
      </w:r>
      <w:r>
        <w:rPr>
          <w:rFonts w:hint="eastAsia" w:ascii="仿宋" w:hAnsi="仿宋" w:eastAsia="仿宋" w:cs="仿宋"/>
          <w:color w:val="auto"/>
          <w:sz w:val="24"/>
          <w:highlight w:val="none"/>
        </w:rPr>
        <w:t>，我公司同意按</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文件要求向贵公司交纳成交项目的</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代理服务费，在收到</w:t>
      </w:r>
      <w:r>
        <w:rPr>
          <w:rFonts w:hint="eastAsia" w:ascii="仿宋" w:hAnsi="仿宋" w:eastAsia="仿宋" w:cs="仿宋"/>
          <w:color w:val="auto"/>
          <w:sz w:val="24"/>
          <w:highlight w:val="none"/>
          <w:lang w:eastAsia="zh-CN"/>
        </w:rPr>
        <w:t>中标</w:t>
      </w:r>
      <w:r>
        <w:rPr>
          <w:rFonts w:hint="eastAsia" w:ascii="仿宋" w:hAnsi="仿宋" w:eastAsia="仿宋" w:cs="仿宋"/>
          <w:color w:val="auto"/>
          <w:sz w:val="24"/>
          <w:highlight w:val="none"/>
        </w:rPr>
        <w:t>通知书后的当天一次性结清。</w:t>
      </w:r>
    </w:p>
    <w:p w14:paraId="5D8A2B72">
      <w:pPr>
        <w:pStyle w:val="7"/>
        <w:spacing w:line="72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本承诺函自开标之日起至本次采购期满有效。</w:t>
      </w:r>
    </w:p>
    <w:p w14:paraId="3ED62035">
      <w:pPr>
        <w:pStyle w:val="7"/>
        <w:spacing w:line="720" w:lineRule="exact"/>
        <w:jc w:val="left"/>
        <w:rPr>
          <w:rFonts w:hint="eastAsia" w:ascii="仿宋" w:hAnsi="仿宋" w:eastAsia="仿宋" w:cs="仿宋"/>
          <w:color w:val="auto"/>
          <w:sz w:val="24"/>
          <w:highlight w:val="none"/>
        </w:rPr>
      </w:pPr>
    </w:p>
    <w:p w14:paraId="3909EFB8">
      <w:pPr>
        <w:pStyle w:val="7"/>
        <w:spacing w:line="720" w:lineRule="exact"/>
        <w:jc w:val="left"/>
        <w:rPr>
          <w:rFonts w:hint="eastAsia" w:ascii="仿宋" w:hAnsi="仿宋" w:eastAsia="仿宋" w:cs="仿宋"/>
          <w:color w:val="auto"/>
          <w:sz w:val="24"/>
          <w:highlight w:val="none"/>
        </w:rPr>
      </w:pPr>
    </w:p>
    <w:p w14:paraId="188E8524">
      <w:pPr>
        <w:pStyle w:val="7"/>
        <w:spacing w:line="720" w:lineRule="exact"/>
        <w:ind w:firstLine="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授权代理人</w:t>
      </w:r>
      <w:r>
        <w:rPr>
          <w:rFonts w:hint="eastAsia" w:ascii="仿宋" w:hAnsi="仿宋" w:eastAsia="仿宋" w:cs="仿宋"/>
          <w:color w:val="auto"/>
          <w:sz w:val="24"/>
          <w:highlight w:val="none"/>
        </w:rPr>
        <w:t>签字：</w:t>
      </w:r>
    </w:p>
    <w:p w14:paraId="1F80D4FE">
      <w:pPr>
        <w:pStyle w:val="7"/>
        <w:spacing w:line="720" w:lineRule="exact"/>
        <w:ind w:firstLine="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6324B8C2">
      <w:pPr>
        <w:pStyle w:val="7"/>
        <w:spacing w:line="720" w:lineRule="exact"/>
        <w:ind w:firstLine="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日期：202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年  月  日</w:t>
      </w:r>
    </w:p>
    <w:p w14:paraId="7B3D75B5">
      <w:pPr>
        <w:pBdr>
          <w:bottom w:val="single" w:color="auto" w:sz="6" w:space="1"/>
        </w:pBdr>
        <w:spacing w:line="540" w:lineRule="exact"/>
        <w:rPr>
          <w:rFonts w:hint="eastAsia" w:ascii="仿宋" w:hAnsi="仿宋" w:eastAsia="仿宋" w:cs="仿宋"/>
          <w:color w:val="auto"/>
          <w:sz w:val="24"/>
          <w:highlight w:val="none"/>
        </w:rPr>
      </w:pPr>
    </w:p>
    <w:p w14:paraId="5794484B">
      <w:pPr>
        <w:spacing w:line="540" w:lineRule="exact"/>
        <w:rPr>
          <w:rFonts w:hint="eastAsia" w:ascii="仿宋" w:hAnsi="仿宋" w:eastAsia="仿宋" w:cs="仿宋"/>
          <w:color w:val="auto"/>
          <w:sz w:val="24"/>
          <w:highlight w:val="none"/>
        </w:rPr>
      </w:pPr>
    </w:p>
    <w:p w14:paraId="5D0C72A4">
      <w:pPr>
        <w:autoSpaceDE w:val="0"/>
        <w:autoSpaceDN w:val="0"/>
        <w:adjustRightInd w:val="0"/>
        <w:spacing w:line="460" w:lineRule="atLeast"/>
        <w:ind w:firstLine="360"/>
        <w:jc w:val="left"/>
        <w:rPr>
          <w:rFonts w:hint="eastAsia" w:ascii="仿宋" w:hAnsi="仿宋" w:eastAsia="仿宋" w:cs="仿宋"/>
          <w:b/>
          <w:bCs/>
          <w:color w:val="auto"/>
          <w:kern w:val="0"/>
          <w:sz w:val="24"/>
          <w:highlight w:val="none"/>
          <w:u w:val="single"/>
        </w:rPr>
      </w:pPr>
      <w:r>
        <w:rPr>
          <w:rFonts w:hint="eastAsia" w:ascii="仿宋" w:hAnsi="仿宋" w:eastAsia="仿宋" w:cs="仿宋"/>
          <w:b/>
          <w:bCs/>
          <w:color w:val="auto"/>
          <w:kern w:val="0"/>
          <w:sz w:val="24"/>
          <w:highlight w:val="none"/>
          <w:u w:val="single"/>
          <w:lang w:val="zh-CN"/>
        </w:rPr>
        <w:t>代理费汇款账号：</w:t>
      </w:r>
    </w:p>
    <w:p w14:paraId="4D410ADE">
      <w:pPr>
        <w:autoSpaceDE w:val="0"/>
        <w:autoSpaceDN w:val="0"/>
        <w:adjustRightInd w:val="0"/>
        <w:spacing w:line="460" w:lineRule="atLeast"/>
        <w:ind w:firstLine="360"/>
        <w:jc w:val="left"/>
        <w:rPr>
          <w:rFonts w:hint="eastAsia" w:ascii="仿宋" w:hAnsi="仿宋" w:eastAsia="仿宋" w:cs="仿宋"/>
          <w:b/>
          <w:bCs/>
          <w:color w:val="auto"/>
          <w:kern w:val="0"/>
          <w:sz w:val="24"/>
          <w:highlight w:val="none"/>
          <w:u w:val="single"/>
        </w:rPr>
      </w:pPr>
    </w:p>
    <w:p w14:paraId="6F2B7A78">
      <w:pPr>
        <w:keepNext w:val="0"/>
        <w:keepLines w:val="0"/>
        <w:pageBreakBefore w:val="0"/>
        <w:widowControl/>
        <w:kinsoku/>
        <w:wordWrap/>
        <w:overflowPunct/>
        <w:topLinePunct w:val="0"/>
        <w:autoSpaceDE/>
        <w:autoSpaceDN/>
        <w:bidi w:val="0"/>
        <w:adjustRightInd/>
        <w:spacing w:line="360" w:lineRule="auto"/>
        <w:ind w:left="750" w:leftChars="300" w:hanging="120" w:hangingChars="50"/>
        <w:textAlignment w:val="auto"/>
        <w:rPr>
          <w:rFonts w:hint="eastAsia"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账户名称：浙江新诚信工程咨询有限公司湖州分公司</w:t>
      </w:r>
    </w:p>
    <w:p w14:paraId="1ADADE4D">
      <w:pPr>
        <w:keepNext w:val="0"/>
        <w:keepLines w:val="0"/>
        <w:pageBreakBefore w:val="0"/>
        <w:widowControl/>
        <w:kinsoku/>
        <w:wordWrap/>
        <w:overflowPunct/>
        <w:topLinePunct w:val="0"/>
        <w:autoSpaceDE/>
        <w:autoSpaceDN/>
        <w:bidi w:val="0"/>
        <w:adjustRightInd/>
        <w:spacing w:line="360" w:lineRule="auto"/>
        <w:ind w:left="750" w:leftChars="300" w:hanging="120" w:hangingChars="50"/>
        <w:textAlignment w:val="auto"/>
        <w:rPr>
          <w:rFonts w:hint="eastAsia"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开户银行：湖州银行股份有限公司南园支行           </w:t>
      </w:r>
    </w:p>
    <w:p w14:paraId="4D49BE13">
      <w:pPr>
        <w:keepNext w:val="0"/>
        <w:keepLines w:val="0"/>
        <w:pageBreakBefore w:val="0"/>
        <w:widowControl/>
        <w:kinsoku/>
        <w:wordWrap/>
        <w:overflowPunct/>
        <w:topLinePunct w:val="0"/>
        <w:autoSpaceDE/>
        <w:autoSpaceDN/>
        <w:bidi w:val="0"/>
        <w:adjustRightInd/>
        <w:spacing w:line="360" w:lineRule="auto"/>
        <w:ind w:left="750" w:leftChars="300" w:hanging="120" w:hangingChars="50"/>
        <w:textAlignment w:val="auto"/>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银行账号：800028090000155</w:t>
      </w:r>
    </w:p>
    <w:p w14:paraId="7094ABA3">
      <w:pPr>
        <w:numPr>
          <w:ilvl w:val="0"/>
          <w:numId w:val="0"/>
        </w:numPr>
        <w:spacing w:line="560" w:lineRule="exact"/>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kern w:val="2"/>
          <w:sz w:val="24"/>
          <w:szCs w:val="20"/>
          <w:highlight w:val="none"/>
          <w:lang w:val="en-US" w:eastAsia="zh-CN" w:bidi="ar-SA"/>
        </w:rPr>
        <w:t>“用途”一栏注明项目编号</w:t>
      </w:r>
      <w:r>
        <w:rPr>
          <w:rFonts w:hint="default" w:ascii="仿宋" w:hAnsi="仿宋" w:eastAsia="仿宋" w:cs="仿宋"/>
          <w:color w:val="auto"/>
          <w:sz w:val="24"/>
          <w:highlight w:val="none"/>
          <w:lang w:val="en-US" w:eastAsia="zh-CN"/>
        </w:rPr>
        <w:t>XCXHZ-2025-003（CG）</w:t>
      </w:r>
    </w:p>
    <w:p w14:paraId="419120AC">
      <w:pPr>
        <w:keepNext w:val="0"/>
        <w:keepLines w:val="0"/>
        <w:pageBreakBefore w:val="0"/>
        <w:widowControl/>
        <w:kinsoku/>
        <w:wordWrap/>
        <w:overflowPunct/>
        <w:topLinePunct w:val="0"/>
        <w:autoSpaceDE/>
        <w:autoSpaceDN/>
        <w:bidi w:val="0"/>
        <w:adjustRightInd/>
        <w:spacing w:line="360" w:lineRule="auto"/>
        <w:ind w:left="750" w:leftChars="300" w:hanging="120" w:hangingChars="50"/>
        <w:textAlignment w:val="auto"/>
        <w:rPr>
          <w:rFonts w:hint="default" w:ascii="仿宋" w:hAnsi="仿宋" w:eastAsia="仿宋" w:cs="仿宋"/>
          <w:color w:val="auto"/>
          <w:kern w:val="2"/>
          <w:sz w:val="24"/>
          <w:szCs w:val="20"/>
          <w:highlight w:val="none"/>
          <w:lang w:val="en-US" w:eastAsia="zh-CN" w:bidi="ar-SA"/>
        </w:rPr>
      </w:pPr>
    </w:p>
    <w:p w14:paraId="0CCBCEA9">
      <w:pPr>
        <w:pStyle w:val="23"/>
        <w:rPr>
          <w:rFonts w:hint="eastAsia"/>
          <w:color w:val="auto"/>
          <w:highlight w:val="none"/>
        </w:rPr>
      </w:pPr>
    </w:p>
    <w:p w14:paraId="74C96950">
      <w:pPr>
        <w:rPr>
          <w:color w:val="auto"/>
          <w:highlight w:val="none"/>
        </w:rPr>
      </w:pPr>
    </w:p>
    <w:sectPr>
      <w:headerReference r:id="rId7" w:type="default"/>
      <w:footerReference r:id="rId8" w:type="default"/>
      <w:pgSz w:w="11907" w:h="16840"/>
      <w:pgMar w:top="1418" w:right="1701" w:bottom="1134" w:left="1701" w:header="851" w:footer="618"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2000019F" w:csb1="4F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559CD">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6B034">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DFC4B">
    <w:pPr>
      <w:pStyle w:val="16"/>
      <w:rPr>
        <w:rFonts w:hint="default"/>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1E2BCC">
                          <w:pPr>
                            <w:pStyle w:val="1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91E2BCC">
                    <w:pPr>
                      <w:pStyle w:val="16"/>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2E802">
    <w:pPr>
      <w:pStyle w:val="16"/>
      <w:rPr>
        <w:rStyle w:val="27"/>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3A9560">
                          <w:pPr>
                            <w:pStyle w:val="16"/>
                          </w:pPr>
                          <w:r>
                            <w:fldChar w:fldCharType="begin"/>
                          </w:r>
                          <w:r>
                            <w:instrText xml:space="preserve"> PAGE  \* MERGEFORMAT </w:instrText>
                          </w:r>
                          <w:r>
                            <w:fldChar w:fldCharType="separate"/>
                          </w:r>
                          <w:r>
                            <w:t>- 36 -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63A9560">
                    <w:pPr>
                      <w:pStyle w:val="16"/>
                    </w:pPr>
                    <w:r>
                      <w:fldChar w:fldCharType="begin"/>
                    </w:r>
                    <w:r>
                      <w:instrText xml:space="preserve"> PAGE  \* MERGEFORMAT </w:instrText>
                    </w:r>
                    <w:r>
                      <w:fldChar w:fldCharType="separate"/>
                    </w:r>
                    <w:r>
                      <w:t>- 36 -</w:t>
                    </w:r>
                    <w:r>
                      <w:fldChar w:fldCharType="end"/>
                    </w:r>
                  </w:p>
                </w:txbxContent>
              </v:textbox>
            </v:shape>
          </w:pict>
        </mc:Fallback>
      </mc:AlternateContent>
    </w:r>
  </w:p>
  <w:p w14:paraId="6A4EFA53">
    <w:pPr>
      <w:pStyle w:val="16"/>
      <w:ind w:right="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1606B">
    <w:pPr>
      <w:pStyle w:val="17"/>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A4FEA">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69BE89"/>
    <w:multiLevelType w:val="singleLevel"/>
    <w:tmpl w:val="B269BE89"/>
    <w:lvl w:ilvl="0" w:tentative="0">
      <w:start w:val="1"/>
      <w:numFmt w:val="decimal"/>
      <w:suff w:val="nothing"/>
      <w:lvlText w:val="（%1）"/>
      <w:lvlJc w:val="left"/>
    </w:lvl>
  </w:abstractNum>
  <w:abstractNum w:abstractNumId="1">
    <w:nsid w:val="CE605ED1"/>
    <w:multiLevelType w:val="singleLevel"/>
    <w:tmpl w:val="CE605ED1"/>
    <w:lvl w:ilvl="0" w:tentative="0">
      <w:start w:val="2"/>
      <w:numFmt w:val="decimal"/>
      <w:suff w:val="nothing"/>
      <w:lvlText w:val="（%1）"/>
      <w:lvlJc w:val="left"/>
    </w:lvl>
  </w:abstractNum>
  <w:abstractNum w:abstractNumId="2">
    <w:nsid w:val="0000001A"/>
    <w:multiLevelType w:val="multilevel"/>
    <w:tmpl w:val="0000001A"/>
    <w:lvl w:ilvl="0" w:tentative="0">
      <w:start w:val="1"/>
      <w:numFmt w:val="decimal"/>
      <w:lvlText w:val="%1．"/>
      <w:lvlJc w:val="left"/>
      <w:pPr>
        <w:tabs>
          <w:tab w:val="left" w:pos="900"/>
        </w:tabs>
        <w:ind w:left="900" w:hanging="7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pStyle w:val="38"/>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3">
    <w:nsid w:val="0432147A"/>
    <w:multiLevelType w:val="singleLevel"/>
    <w:tmpl w:val="0432147A"/>
    <w:lvl w:ilvl="0" w:tentative="0">
      <w:start w:val="1"/>
      <w:numFmt w:val="decimal"/>
      <w:lvlText w:val="%1."/>
      <w:lvlJc w:val="left"/>
      <w:pPr>
        <w:tabs>
          <w:tab w:val="left" w:pos="312"/>
        </w:tabs>
        <w:ind w:left="-482"/>
      </w:pPr>
    </w:lvl>
  </w:abstractNum>
  <w:abstractNum w:abstractNumId="4">
    <w:nsid w:val="16A1400B"/>
    <w:multiLevelType w:val="singleLevel"/>
    <w:tmpl w:val="16A1400B"/>
    <w:lvl w:ilvl="0" w:tentative="0">
      <w:start w:val="8"/>
      <w:numFmt w:val="decimal"/>
      <w:lvlText w:val="%1."/>
      <w:lvlJc w:val="left"/>
      <w:pPr>
        <w:tabs>
          <w:tab w:val="left" w:pos="312"/>
        </w:tabs>
      </w:pPr>
    </w:lvl>
  </w:abstractNum>
  <w:abstractNum w:abstractNumId="5">
    <w:nsid w:val="2FB431DB"/>
    <w:multiLevelType w:val="singleLevel"/>
    <w:tmpl w:val="2FB431DB"/>
    <w:lvl w:ilvl="0" w:tentative="0">
      <w:start w:val="5"/>
      <w:numFmt w:val="chineseCounting"/>
      <w:suff w:val="space"/>
      <w:lvlText w:val="第%1章"/>
      <w:lvlJc w:val="left"/>
      <w:rPr>
        <w:rFonts w:hint="eastAsia"/>
      </w:rPr>
    </w:lvl>
  </w:abstractNum>
  <w:abstractNum w:abstractNumId="6">
    <w:nsid w:val="4CA46F2E"/>
    <w:multiLevelType w:val="multilevel"/>
    <w:tmpl w:val="4CA46F2E"/>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7">
    <w:nsid w:val="5D3C7342"/>
    <w:multiLevelType w:val="singleLevel"/>
    <w:tmpl w:val="5D3C7342"/>
    <w:lvl w:ilvl="0" w:tentative="0">
      <w:start w:val="1"/>
      <w:numFmt w:val="chineseCounting"/>
      <w:suff w:val="nothing"/>
      <w:lvlText w:val="%1、"/>
      <w:lvlJc w:val="left"/>
      <w:rPr>
        <w:rFonts w:hint="eastAsia"/>
      </w:rPr>
    </w:lvl>
  </w:abstractNum>
  <w:abstractNum w:abstractNumId="8">
    <w:nsid w:val="709E55E0"/>
    <w:multiLevelType w:val="singleLevel"/>
    <w:tmpl w:val="709E55E0"/>
    <w:lvl w:ilvl="0" w:tentative="0">
      <w:start w:val="1"/>
      <w:numFmt w:val="decimal"/>
      <w:suff w:val="nothing"/>
      <w:lvlText w:val="%1、"/>
      <w:lvlJc w:val="left"/>
    </w:lvl>
  </w:abstractNum>
  <w:num w:numId="1">
    <w:abstractNumId w:val="6"/>
  </w:num>
  <w:num w:numId="2">
    <w:abstractNumId w:val="2"/>
  </w:num>
  <w:num w:numId="3">
    <w:abstractNumId w:val="7"/>
  </w:num>
  <w:num w:numId="4">
    <w:abstractNumId w:val="1"/>
  </w:num>
  <w:num w:numId="5">
    <w:abstractNumId w:val="3"/>
  </w:num>
  <w:num w:numId="6">
    <w:abstractNumId w:val="0"/>
  </w:num>
  <w:num w:numId="7">
    <w:abstractNumId w:val="8"/>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zdlMDU1MTc1YzQ3NzExMmIxNTAyNDE2NzA4MjgifQ=="/>
  </w:docVars>
  <w:rsids>
    <w:rsidRoot w:val="00172A27"/>
    <w:rsid w:val="00583020"/>
    <w:rsid w:val="010D7238"/>
    <w:rsid w:val="0177710C"/>
    <w:rsid w:val="02436EBD"/>
    <w:rsid w:val="024A0BB7"/>
    <w:rsid w:val="02763BF2"/>
    <w:rsid w:val="02E6783D"/>
    <w:rsid w:val="03AC7D7B"/>
    <w:rsid w:val="04331220"/>
    <w:rsid w:val="051A3BCD"/>
    <w:rsid w:val="05C05CF6"/>
    <w:rsid w:val="06377F63"/>
    <w:rsid w:val="06A502D4"/>
    <w:rsid w:val="07A45B5F"/>
    <w:rsid w:val="081C745E"/>
    <w:rsid w:val="085D569E"/>
    <w:rsid w:val="08EB2EA8"/>
    <w:rsid w:val="0A526475"/>
    <w:rsid w:val="0AB209BB"/>
    <w:rsid w:val="0B0F02DA"/>
    <w:rsid w:val="0BCB7F89"/>
    <w:rsid w:val="0C2165E3"/>
    <w:rsid w:val="0C8502EF"/>
    <w:rsid w:val="0C88117F"/>
    <w:rsid w:val="0C93193C"/>
    <w:rsid w:val="0CE53CF6"/>
    <w:rsid w:val="0D1224ED"/>
    <w:rsid w:val="0D223199"/>
    <w:rsid w:val="0DAD308A"/>
    <w:rsid w:val="0E1862E9"/>
    <w:rsid w:val="0EC20314"/>
    <w:rsid w:val="1056383C"/>
    <w:rsid w:val="10EC436F"/>
    <w:rsid w:val="11353257"/>
    <w:rsid w:val="12455008"/>
    <w:rsid w:val="136971BE"/>
    <w:rsid w:val="13C80904"/>
    <w:rsid w:val="13FE3F32"/>
    <w:rsid w:val="15197EAA"/>
    <w:rsid w:val="15F84F9C"/>
    <w:rsid w:val="166A51D2"/>
    <w:rsid w:val="17116093"/>
    <w:rsid w:val="17D4149E"/>
    <w:rsid w:val="181233DC"/>
    <w:rsid w:val="183047A4"/>
    <w:rsid w:val="187D188E"/>
    <w:rsid w:val="18ED3174"/>
    <w:rsid w:val="190C09AE"/>
    <w:rsid w:val="192F32C4"/>
    <w:rsid w:val="19337554"/>
    <w:rsid w:val="19E03E83"/>
    <w:rsid w:val="1A11228E"/>
    <w:rsid w:val="1ABE6C88"/>
    <w:rsid w:val="1B606B59"/>
    <w:rsid w:val="1B7045B6"/>
    <w:rsid w:val="1CE93CFC"/>
    <w:rsid w:val="1D807E78"/>
    <w:rsid w:val="1F1C491F"/>
    <w:rsid w:val="1F1D4D1C"/>
    <w:rsid w:val="1F933745"/>
    <w:rsid w:val="2010511B"/>
    <w:rsid w:val="203B62B7"/>
    <w:rsid w:val="206A2A53"/>
    <w:rsid w:val="20722BFF"/>
    <w:rsid w:val="21DE620F"/>
    <w:rsid w:val="21E34037"/>
    <w:rsid w:val="21F00A22"/>
    <w:rsid w:val="224F429B"/>
    <w:rsid w:val="240B1533"/>
    <w:rsid w:val="24B73DC5"/>
    <w:rsid w:val="256B319A"/>
    <w:rsid w:val="25E8525A"/>
    <w:rsid w:val="27474405"/>
    <w:rsid w:val="274C4E3B"/>
    <w:rsid w:val="27B638A0"/>
    <w:rsid w:val="27C546B8"/>
    <w:rsid w:val="29127DD1"/>
    <w:rsid w:val="294C22C4"/>
    <w:rsid w:val="29A847B2"/>
    <w:rsid w:val="29EB0C54"/>
    <w:rsid w:val="29F403B2"/>
    <w:rsid w:val="2ABF5AFC"/>
    <w:rsid w:val="2AC034E2"/>
    <w:rsid w:val="2BE24B7B"/>
    <w:rsid w:val="2C513F99"/>
    <w:rsid w:val="2CC17FD7"/>
    <w:rsid w:val="2CC33475"/>
    <w:rsid w:val="2E8B5A20"/>
    <w:rsid w:val="2F8628AA"/>
    <w:rsid w:val="2FF715AD"/>
    <w:rsid w:val="3018325F"/>
    <w:rsid w:val="312A3418"/>
    <w:rsid w:val="31597BEF"/>
    <w:rsid w:val="32814191"/>
    <w:rsid w:val="32B325CC"/>
    <w:rsid w:val="33633282"/>
    <w:rsid w:val="338D4C23"/>
    <w:rsid w:val="33E54F7B"/>
    <w:rsid w:val="342C1FEC"/>
    <w:rsid w:val="34496E1F"/>
    <w:rsid w:val="34667C9A"/>
    <w:rsid w:val="35ED7262"/>
    <w:rsid w:val="36CD0C57"/>
    <w:rsid w:val="36F81E5E"/>
    <w:rsid w:val="37550D16"/>
    <w:rsid w:val="37A44758"/>
    <w:rsid w:val="38406154"/>
    <w:rsid w:val="39B01A12"/>
    <w:rsid w:val="3A4918FD"/>
    <w:rsid w:val="3A974381"/>
    <w:rsid w:val="3AA840F1"/>
    <w:rsid w:val="3CA13886"/>
    <w:rsid w:val="3EDF285C"/>
    <w:rsid w:val="408C2FC1"/>
    <w:rsid w:val="413B6E60"/>
    <w:rsid w:val="41E339B1"/>
    <w:rsid w:val="421B5963"/>
    <w:rsid w:val="42C62BE3"/>
    <w:rsid w:val="42D124ED"/>
    <w:rsid w:val="42E06BC9"/>
    <w:rsid w:val="42E44134"/>
    <w:rsid w:val="4332537D"/>
    <w:rsid w:val="43AF64F0"/>
    <w:rsid w:val="43B84453"/>
    <w:rsid w:val="4416656F"/>
    <w:rsid w:val="44A973E3"/>
    <w:rsid w:val="45414ABB"/>
    <w:rsid w:val="45F839FF"/>
    <w:rsid w:val="464D63DF"/>
    <w:rsid w:val="467D4765"/>
    <w:rsid w:val="46B2474E"/>
    <w:rsid w:val="47417453"/>
    <w:rsid w:val="47AA14A8"/>
    <w:rsid w:val="49105D6E"/>
    <w:rsid w:val="496F7460"/>
    <w:rsid w:val="49B26BEE"/>
    <w:rsid w:val="4AB4084F"/>
    <w:rsid w:val="4AD02541"/>
    <w:rsid w:val="4AD848CB"/>
    <w:rsid w:val="4BAC11EB"/>
    <w:rsid w:val="4BB95AAE"/>
    <w:rsid w:val="4C7038B3"/>
    <w:rsid w:val="50F814D6"/>
    <w:rsid w:val="53C53B50"/>
    <w:rsid w:val="54A66655"/>
    <w:rsid w:val="56807A85"/>
    <w:rsid w:val="57BF3573"/>
    <w:rsid w:val="57EA148D"/>
    <w:rsid w:val="582E3169"/>
    <w:rsid w:val="58942407"/>
    <w:rsid w:val="58A04249"/>
    <w:rsid w:val="58BD4DB3"/>
    <w:rsid w:val="58FA6008"/>
    <w:rsid w:val="595A4FF4"/>
    <w:rsid w:val="597E6E9B"/>
    <w:rsid w:val="5A87261F"/>
    <w:rsid w:val="5A881453"/>
    <w:rsid w:val="5B8411B1"/>
    <w:rsid w:val="5BC83646"/>
    <w:rsid w:val="5C052CF9"/>
    <w:rsid w:val="5F931CE8"/>
    <w:rsid w:val="5FA64ABC"/>
    <w:rsid w:val="5FB6590E"/>
    <w:rsid w:val="5FC83CC4"/>
    <w:rsid w:val="610504CE"/>
    <w:rsid w:val="61314591"/>
    <w:rsid w:val="624A1522"/>
    <w:rsid w:val="626B153D"/>
    <w:rsid w:val="626E5A20"/>
    <w:rsid w:val="62A712A4"/>
    <w:rsid w:val="63B91493"/>
    <w:rsid w:val="63CB6DD7"/>
    <w:rsid w:val="63ED479F"/>
    <w:rsid w:val="64054FC2"/>
    <w:rsid w:val="64167D58"/>
    <w:rsid w:val="64CD1F2E"/>
    <w:rsid w:val="65000502"/>
    <w:rsid w:val="6548526C"/>
    <w:rsid w:val="670D6F06"/>
    <w:rsid w:val="673B631A"/>
    <w:rsid w:val="678B4153"/>
    <w:rsid w:val="67CA1197"/>
    <w:rsid w:val="685C7E37"/>
    <w:rsid w:val="68BF1511"/>
    <w:rsid w:val="69037E08"/>
    <w:rsid w:val="69D53E8F"/>
    <w:rsid w:val="6A36609C"/>
    <w:rsid w:val="6CA94EA8"/>
    <w:rsid w:val="6D4D51EA"/>
    <w:rsid w:val="6D9E0C69"/>
    <w:rsid w:val="6DAA71A8"/>
    <w:rsid w:val="6DD860C8"/>
    <w:rsid w:val="6E2E4E0D"/>
    <w:rsid w:val="6F644F7E"/>
    <w:rsid w:val="6F86081D"/>
    <w:rsid w:val="6F95109A"/>
    <w:rsid w:val="703603A6"/>
    <w:rsid w:val="703A6198"/>
    <w:rsid w:val="706A28AB"/>
    <w:rsid w:val="71AD2323"/>
    <w:rsid w:val="72E91436"/>
    <w:rsid w:val="7443040B"/>
    <w:rsid w:val="74B7294F"/>
    <w:rsid w:val="74C21443"/>
    <w:rsid w:val="752411C2"/>
    <w:rsid w:val="75736ACE"/>
    <w:rsid w:val="75F406CA"/>
    <w:rsid w:val="76BB4F70"/>
    <w:rsid w:val="771220D8"/>
    <w:rsid w:val="772D5F16"/>
    <w:rsid w:val="788C68B6"/>
    <w:rsid w:val="789B61E6"/>
    <w:rsid w:val="78FB6C3F"/>
    <w:rsid w:val="7AAC6879"/>
    <w:rsid w:val="7B5C3B71"/>
    <w:rsid w:val="7B8C7B5C"/>
    <w:rsid w:val="7CF67CAA"/>
    <w:rsid w:val="7D284642"/>
    <w:rsid w:val="7E4E2CD6"/>
    <w:rsid w:val="7F3519FF"/>
    <w:rsid w:val="7F742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9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autoRedefine/>
    <w:qFormat/>
    <w:uiPriority w:val="0"/>
    <w:pPr>
      <w:keepNext/>
      <w:spacing w:line="216" w:lineRule="auto"/>
      <w:jc w:val="center"/>
      <w:outlineLvl w:val="0"/>
    </w:pPr>
    <w:rPr>
      <w:rFonts w:ascii="宋体" w:hAnsi="宋体"/>
      <w:b/>
      <w:sz w:val="30"/>
      <w:szCs w:val="20"/>
    </w:rPr>
  </w:style>
  <w:style w:type="paragraph" w:styleId="4">
    <w:name w:val="heading 2"/>
    <w:basedOn w:val="1"/>
    <w:next w:val="1"/>
    <w:autoRedefine/>
    <w:qFormat/>
    <w:uiPriority w:val="0"/>
    <w:pPr>
      <w:keepNext/>
      <w:keepLines/>
      <w:spacing w:before="260" w:beforeLines="0" w:after="260" w:afterLines="0" w:line="413" w:lineRule="auto"/>
      <w:outlineLvl w:val="1"/>
    </w:pPr>
    <w:rPr>
      <w:rFonts w:ascii="Arial" w:hAnsi="Arial" w:eastAsia="黑体"/>
      <w:b/>
      <w:bCs/>
      <w:sz w:val="32"/>
      <w:szCs w:val="32"/>
    </w:rPr>
  </w:style>
  <w:style w:type="paragraph" w:styleId="5">
    <w:name w:val="heading 3"/>
    <w:basedOn w:val="1"/>
    <w:next w:val="1"/>
    <w:autoRedefine/>
    <w:qFormat/>
    <w:uiPriority w:val="0"/>
    <w:pPr>
      <w:keepNext/>
      <w:keepLines/>
      <w:widowControl/>
      <w:tabs>
        <w:tab w:val="left" w:pos="720"/>
      </w:tabs>
      <w:spacing w:before="120" w:after="120" w:line="360" w:lineRule="auto"/>
      <w:ind w:left="720" w:hanging="720"/>
      <w:jc w:val="center"/>
      <w:outlineLvl w:val="2"/>
    </w:pPr>
    <w:rPr>
      <w:b/>
      <w:kern w:val="0"/>
      <w:sz w:val="32"/>
      <w:szCs w:val="20"/>
    </w:rPr>
  </w:style>
  <w:style w:type="paragraph" w:styleId="6">
    <w:name w:val="heading 4"/>
    <w:basedOn w:val="1"/>
    <w:next w:val="1"/>
    <w:autoRedefine/>
    <w:qFormat/>
    <w:uiPriority w:val="9"/>
    <w:pPr>
      <w:keepNext/>
      <w:keepLines/>
      <w:numPr>
        <w:ilvl w:val="3"/>
        <w:numId w:val="1"/>
      </w:numPr>
      <w:outlineLvl w:val="3"/>
    </w:pPr>
    <w:rPr>
      <w:rFonts w:ascii="仿宋" w:hAnsi="仿宋"/>
      <w:sz w:val="28"/>
      <w:szCs w:val="28"/>
    </w:rPr>
  </w:style>
  <w:style w:type="character" w:default="1" w:styleId="26">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widowControl w:val="0"/>
      <w:suppressLineNumbers w:val="0"/>
      <w:autoSpaceDE w:val="0"/>
      <w:autoSpaceDN w:val="0"/>
      <w:adjustRightInd w:val="0"/>
      <w:spacing w:before="240" w:beforeAutospacing="0" w:after="60" w:afterAutospacing="0"/>
      <w:ind w:left="0" w:right="0"/>
      <w:jc w:val="center"/>
      <w:outlineLvl w:val="0"/>
    </w:pPr>
    <w:rPr>
      <w:rFonts w:ascii="Cambria" w:hAnsi="Cambria"/>
      <w:b/>
      <w:color w:val="000000"/>
      <w:kern w:val="0"/>
      <w:sz w:val="32"/>
      <w:szCs w:val="32"/>
    </w:rPr>
  </w:style>
  <w:style w:type="paragraph" w:styleId="7">
    <w:name w:val="Normal Indent"/>
    <w:basedOn w:val="1"/>
    <w:next w:val="1"/>
    <w:autoRedefine/>
    <w:qFormat/>
    <w:uiPriority w:val="0"/>
    <w:pPr>
      <w:ind w:firstLine="420"/>
    </w:pPr>
    <w:rPr>
      <w:szCs w:val="20"/>
    </w:rPr>
  </w:style>
  <w:style w:type="paragraph" w:styleId="8">
    <w:name w:val="toa heading"/>
    <w:basedOn w:val="1"/>
    <w:next w:val="1"/>
    <w:autoRedefine/>
    <w:qFormat/>
    <w:uiPriority w:val="0"/>
    <w:pPr>
      <w:spacing w:before="120"/>
    </w:pPr>
    <w:rPr>
      <w:rFonts w:ascii="Arial" w:hAnsi="Arial"/>
      <w:sz w:val="24"/>
    </w:rPr>
  </w:style>
  <w:style w:type="paragraph" w:styleId="9">
    <w:name w:val="annotation text"/>
    <w:basedOn w:val="1"/>
    <w:autoRedefine/>
    <w:qFormat/>
    <w:uiPriority w:val="0"/>
    <w:pPr>
      <w:jc w:val="left"/>
    </w:pPr>
  </w:style>
  <w:style w:type="paragraph" w:styleId="10">
    <w:name w:val="Body Text"/>
    <w:basedOn w:val="1"/>
    <w:next w:val="11"/>
    <w:autoRedefine/>
    <w:qFormat/>
    <w:uiPriority w:val="0"/>
    <w:rPr>
      <w:rFonts w:ascii="宋体" w:hAnsi="宋体"/>
      <w:sz w:val="28"/>
    </w:rPr>
  </w:style>
  <w:style w:type="paragraph" w:customStyle="1" w:styleId="11">
    <w:name w:val="Default"/>
    <w:next w:val="1"/>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2">
    <w:name w:val="Body Text Indent"/>
    <w:basedOn w:val="1"/>
    <w:autoRedefine/>
    <w:qFormat/>
    <w:uiPriority w:val="0"/>
    <w:pPr>
      <w:spacing w:line="360" w:lineRule="auto"/>
      <w:ind w:firstLine="600" w:firstLineChars="200"/>
    </w:pPr>
    <w:rPr>
      <w:rFonts w:ascii="仿宋_GB2312" w:hAnsi="宋体" w:eastAsia="仿宋_GB2312"/>
      <w:sz w:val="30"/>
    </w:rPr>
  </w:style>
  <w:style w:type="paragraph" w:styleId="13">
    <w:name w:val="Block Text"/>
    <w:basedOn w:val="1"/>
    <w:autoRedefine/>
    <w:qFormat/>
    <w:uiPriority w:val="0"/>
    <w:pPr>
      <w:spacing w:line="390" w:lineRule="exact"/>
      <w:ind w:left="735" w:right="-296" w:rightChars="-141"/>
    </w:pPr>
    <w:rPr>
      <w:rFonts w:ascii="宋体"/>
    </w:rPr>
  </w:style>
  <w:style w:type="paragraph" w:styleId="14">
    <w:name w:val="Plain Text"/>
    <w:basedOn w:val="1"/>
    <w:autoRedefine/>
    <w:qFormat/>
    <w:uiPriority w:val="0"/>
    <w:rPr>
      <w:rFonts w:ascii="宋体" w:hAnsi="Courier New" w:cs="Courier New"/>
      <w:szCs w:val="21"/>
    </w:rPr>
  </w:style>
  <w:style w:type="paragraph" w:styleId="15">
    <w:name w:val="Date"/>
    <w:basedOn w:val="1"/>
    <w:next w:val="1"/>
    <w:autoRedefine/>
    <w:qFormat/>
    <w:uiPriority w:val="0"/>
    <w:pPr>
      <w:ind w:leftChars="2500"/>
    </w:pPr>
    <w:rPr>
      <w:rFonts w:ascii="Tahoma" w:hAnsi="Tahoma" w:eastAsia="楷体_GB2312"/>
      <w:sz w:val="32"/>
      <w:szCs w:val="20"/>
    </w:rPr>
  </w:style>
  <w:style w:type="paragraph" w:styleId="16">
    <w:name w:val="footer"/>
    <w:basedOn w:val="1"/>
    <w:autoRedefine/>
    <w:qFormat/>
    <w:uiPriority w:val="0"/>
    <w:pPr>
      <w:tabs>
        <w:tab w:val="center" w:pos="4153"/>
        <w:tab w:val="right" w:pos="8306"/>
      </w:tabs>
      <w:snapToGrid w:val="0"/>
      <w:jc w:val="left"/>
    </w:pPr>
    <w:rPr>
      <w:sz w:val="18"/>
      <w:szCs w:val="18"/>
    </w:rPr>
  </w:style>
  <w:style w:type="paragraph" w:styleId="17">
    <w:name w:val="header"/>
    <w:basedOn w:val="1"/>
    <w:autoRedefine/>
    <w:qFormat/>
    <w:uiPriority w:val="99"/>
    <w:pPr>
      <w:pBdr>
        <w:bottom w:val="single" w:color="auto" w:sz="6" w:space="1"/>
      </w:pBdr>
      <w:tabs>
        <w:tab w:val="center" w:pos="4153"/>
        <w:tab w:val="right" w:pos="8306"/>
      </w:tabs>
      <w:adjustRightInd w:val="0"/>
      <w:snapToGrid w:val="0"/>
      <w:spacing w:line="240" w:lineRule="atLeast"/>
      <w:jc w:val="center"/>
      <w:textAlignment w:val="baseline"/>
    </w:pPr>
    <w:rPr>
      <w:rFonts w:ascii="宋体"/>
      <w:kern w:val="0"/>
      <w:sz w:val="18"/>
      <w:szCs w:val="20"/>
    </w:rPr>
  </w:style>
  <w:style w:type="paragraph" w:styleId="18">
    <w:name w:val="Subtitle"/>
    <w:basedOn w:val="1"/>
    <w:next w:val="1"/>
    <w:autoRedefin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19">
    <w:name w:val="toc 6"/>
    <w:basedOn w:val="1"/>
    <w:next w:val="1"/>
    <w:autoRedefine/>
    <w:qFormat/>
    <w:uiPriority w:val="99"/>
    <w:pPr>
      <w:ind w:left="2100" w:leftChars="1000"/>
    </w:pPr>
    <w:rPr>
      <w:rFonts w:ascii="Calibri" w:hAnsi="Calibri"/>
      <w:szCs w:val="22"/>
    </w:rPr>
  </w:style>
  <w:style w:type="paragraph" w:styleId="20">
    <w:name w:val="Body Text Indent 3"/>
    <w:basedOn w:val="1"/>
    <w:autoRedefine/>
    <w:qFormat/>
    <w:uiPriority w:val="99"/>
    <w:pPr>
      <w:spacing w:after="120"/>
      <w:ind w:left="420" w:leftChars="200"/>
    </w:pPr>
    <w:rPr>
      <w:sz w:val="16"/>
      <w:szCs w:val="16"/>
    </w:rPr>
  </w:style>
  <w:style w:type="paragraph" w:styleId="21">
    <w:name w:val="Normal (Web)"/>
    <w:basedOn w:val="1"/>
    <w:autoRedefine/>
    <w:qFormat/>
    <w:uiPriority w:val="0"/>
    <w:pPr>
      <w:spacing w:beforeAutospacing="1" w:afterAutospacing="1"/>
      <w:jc w:val="left"/>
    </w:pPr>
    <w:rPr>
      <w:rFonts w:asciiTheme="minorHAnsi" w:hAnsiTheme="minorHAnsi" w:eastAsiaTheme="minorEastAsia"/>
      <w:kern w:val="0"/>
      <w:sz w:val="24"/>
    </w:rPr>
  </w:style>
  <w:style w:type="paragraph" w:styleId="22">
    <w:name w:val="Body Text First Indent"/>
    <w:basedOn w:val="10"/>
    <w:next w:val="1"/>
    <w:autoRedefine/>
    <w:qFormat/>
    <w:uiPriority w:val="0"/>
    <w:pPr>
      <w:spacing w:line="312" w:lineRule="auto"/>
      <w:ind w:firstLine="420"/>
    </w:pPr>
  </w:style>
  <w:style w:type="paragraph" w:styleId="23">
    <w:name w:val="Body Text First Indent 2"/>
    <w:basedOn w:val="12"/>
    <w:autoRedefine/>
    <w:qFormat/>
    <w:uiPriority w:val="0"/>
    <w:pPr>
      <w:spacing w:after="120" w:line="240" w:lineRule="auto"/>
      <w:ind w:left="420" w:leftChars="200" w:firstLine="420"/>
    </w:pPr>
    <w:rPr>
      <w:rFonts w:ascii="Times New Roman" w:hAnsi="Times New Roman" w:eastAsia="楷体_GB2312"/>
      <w:sz w:val="21"/>
    </w:rPr>
  </w:style>
  <w:style w:type="table" w:styleId="25">
    <w:name w:val="Table Grid"/>
    <w:basedOn w:val="2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page number"/>
    <w:basedOn w:val="26"/>
    <w:autoRedefine/>
    <w:qFormat/>
    <w:uiPriority w:val="0"/>
  </w:style>
  <w:style w:type="character" w:styleId="28">
    <w:name w:val="FollowedHyperlink"/>
    <w:basedOn w:val="26"/>
    <w:qFormat/>
    <w:uiPriority w:val="0"/>
    <w:rPr>
      <w:color w:val="771CAA"/>
      <w:u w:val="none"/>
    </w:rPr>
  </w:style>
  <w:style w:type="character" w:styleId="29">
    <w:name w:val="Emphasis"/>
    <w:basedOn w:val="26"/>
    <w:qFormat/>
    <w:uiPriority w:val="0"/>
    <w:rPr>
      <w:color w:val="F73131"/>
    </w:rPr>
  </w:style>
  <w:style w:type="character" w:styleId="30">
    <w:name w:val="Hyperlink"/>
    <w:basedOn w:val="26"/>
    <w:qFormat/>
    <w:uiPriority w:val="0"/>
    <w:rPr>
      <w:color w:val="2440B3"/>
      <w:u w:val="none"/>
    </w:rPr>
  </w:style>
  <w:style w:type="character" w:styleId="31">
    <w:name w:val="HTML Cite"/>
    <w:basedOn w:val="26"/>
    <w:qFormat/>
    <w:uiPriority w:val="0"/>
    <w:rPr>
      <w:color w:val="008000"/>
    </w:rPr>
  </w:style>
  <w:style w:type="paragraph" w:customStyle="1" w:styleId="32">
    <w:name w:val="密级编号"/>
    <w:basedOn w:val="1"/>
    <w:next w:val="7"/>
    <w:autoRedefine/>
    <w:qFormat/>
    <w:uiPriority w:val="0"/>
    <w:pPr>
      <w:widowControl w:val="0"/>
      <w:autoSpaceDE/>
      <w:autoSpaceDN/>
      <w:spacing w:before="0" w:after="0" w:line="240" w:lineRule="auto"/>
      <w:ind w:left="0" w:firstLine="0"/>
      <w:jc w:val="center"/>
    </w:pPr>
    <w:rPr>
      <w:rFonts w:ascii="仿宋_GB2312" w:eastAsia="仿宋_GB2312"/>
      <w:sz w:val="24"/>
    </w:rPr>
  </w:style>
  <w:style w:type="paragraph" w:customStyle="1" w:styleId="33">
    <w:name w:val="_Style 1"/>
    <w:autoRedefine/>
    <w:qFormat/>
    <w:uiPriority w:val="99"/>
    <w:rPr>
      <w:rFonts w:ascii="Calibri" w:hAnsi="Calibri" w:eastAsia="宋体" w:cs="Times New Roman"/>
      <w:kern w:val="2"/>
      <w:sz w:val="28"/>
      <w:szCs w:val="22"/>
      <w:lang w:val="en-US" w:eastAsia="zh-CN" w:bidi="ar-SA"/>
    </w:rPr>
  </w:style>
  <w:style w:type="paragraph" w:customStyle="1" w:styleId="34">
    <w:name w:val="Char"/>
    <w:basedOn w:val="1"/>
    <w:autoRedefine/>
    <w:qFormat/>
    <w:uiPriority w:val="0"/>
    <w:pPr>
      <w:spacing w:line="460" w:lineRule="exact"/>
      <w:ind w:firstLine="538" w:firstLineChars="224"/>
    </w:pPr>
    <w:rPr>
      <w:rFonts w:ascii="宋体" w:hAnsi="宋体" w:cs="宋体"/>
      <w:color w:val="000000"/>
      <w:sz w:val="24"/>
    </w:rPr>
  </w:style>
  <w:style w:type="paragraph" w:customStyle="1" w:styleId="35">
    <w:name w:val="IBM 正文"/>
    <w:basedOn w:val="1"/>
    <w:autoRedefine/>
    <w:qFormat/>
    <w:uiPriority w:val="0"/>
    <w:pPr>
      <w:spacing w:line="360" w:lineRule="atLeast"/>
    </w:pPr>
    <w:rPr>
      <w:sz w:val="24"/>
      <w:szCs w:val="20"/>
    </w:rPr>
  </w:style>
  <w:style w:type="paragraph" w:customStyle="1" w:styleId="36">
    <w:name w:val="正文1"/>
    <w:autoRedefine/>
    <w:qFormat/>
    <w:uiPriority w:val="0"/>
    <w:pPr>
      <w:widowControl w:val="0"/>
      <w:adjustRightInd w:val="0"/>
      <w:spacing w:line="312" w:lineRule="atLeast"/>
      <w:jc w:val="both"/>
      <w:textAlignment w:val="baseline"/>
    </w:pPr>
    <w:rPr>
      <w:rFonts w:ascii="宋体" w:hAnsi="宋体" w:eastAsia="宋体" w:cs="Times New Roman"/>
      <w:sz w:val="24"/>
      <w:lang w:val="en-US" w:eastAsia="zh-CN" w:bidi="ar-SA"/>
    </w:rPr>
  </w:style>
  <w:style w:type="paragraph" w:styleId="37">
    <w:name w:val="List Paragraph"/>
    <w:basedOn w:val="1"/>
    <w:autoRedefine/>
    <w:qFormat/>
    <w:uiPriority w:val="34"/>
    <w:pPr>
      <w:widowControl/>
      <w:spacing w:before="100" w:beforeAutospacing="1" w:after="100" w:afterAutospacing="1"/>
      <w:jc w:val="left"/>
    </w:pPr>
    <w:rPr>
      <w:rFonts w:ascii="黑体" w:hAnsi="黑体" w:eastAsia="黑体" w:cs="宋体"/>
      <w:color w:val="000000"/>
      <w:kern w:val="0"/>
      <w:sz w:val="24"/>
      <w:szCs w:val="24"/>
    </w:rPr>
  </w:style>
  <w:style w:type="paragraph" w:customStyle="1" w:styleId="38">
    <w:name w:val="首行缩进"/>
    <w:basedOn w:val="1"/>
    <w:autoRedefine/>
    <w:qFormat/>
    <w:uiPriority w:val="0"/>
    <w:pPr>
      <w:widowControl/>
      <w:numPr>
        <w:ilvl w:val="6"/>
        <w:numId w:val="2"/>
      </w:numPr>
      <w:tabs>
        <w:tab w:val="left" w:pos="822"/>
        <w:tab w:val="clear" w:pos="3120"/>
      </w:tabs>
      <w:snapToGrid w:val="0"/>
      <w:spacing w:before="40" w:after="40" w:line="300" w:lineRule="atLeast"/>
    </w:pPr>
    <w:rPr>
      <w:rFonts w:ascii="Arial" w:hAnsi="Arial"/>
      <w:kern w:val="0"/>
      <w:szCs w:val="20"/>
    </w:rPr>
  </w:style>
  <w:style w:type="paragraph" w:customStyle="1" w:styleId="39">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0">
    <w:name w:val="BodyText1I"/>
    <w:basedOn w:val="41"/>
    <w:autoRedefine/>
    <w:qFormat/>
    <w:uiPriority w:val="0"/>
    <w:pPr>
      <w:tabs>
        <w:tab w:val="left" w:pos="3380"/>
      </w:tabs>
      <w:ind w:firstLine="420" w:firstLineChars="100"/>
    </w:pPr>
    <w:rPr>
      <w:rFonts w:ascii="宋体" w:hAnsi="宋体"/>
      <w:sz w:val="28"/>
      <w:szCs w:val="28"/>
    </w:rPr>
  </w:style>
  <w:style w:type="paragraph" w:customStyle="1" w:styleId="41">
    <w:name w:val="BodyText"/>
    <w:basedOn w:val="1"/>
    <w:autoRedefine/>
    <w:qFormat/>
    <w:uiPriority w:val="0"/>
    <w:pPr>
      <w:tabs>
        <w:tab w:val="left" w:pos="3380"/>
      </w:tabs>
      <w:jc w:val="center"/>
      <w:textAlignment w:val="baseline"/>
    </w:pPr>
    <w:rPr>
      <w:rFonts w:ascii="Times New Roman"/>
      <w:b/>
      <w:bCs/>
      <w:spacing w:val="-20"/>
      <w:kern w:val="0"/>
      <w:sz w:val="36"/>
    </w:rPr>
  </w:style>
  <w:style w:type="paragraph" w:customStyle="1" w:styleId="42">
    <w:name w:val="Table Paragraph"/>
    <w:basedOn w:val="1"/>
    <w:autoRedefine/>
    <w:qFormat/>
    <w:uiPriority w:val="1"/>
    <w:rPr>
      <w:rFonts w:ascii="宋体" w:hAnsi="宋体" w:eastAsia="宋体" w:cs="宋体"/>
      <w:lang w:val="zh-CN" w:eastAsia="zh-CN" w:bidi="zh-CN"/>
    </w:rPr>
  </w:style>
  <w:style w:type="paragraph" w:customStyle="1" w:styleId="43">
    <w:name w:val="表格文字"/>
    <w:basedOn w:val="1"/>
    <w:next w:val="10"/>
    <w:autoRedefine/>
    <w:qFormat/>
    <w:uiPriority w:val="0"/>
    <w:pPr>
      <w:adjustRightInd w:val="0"/>
      <w:spacing w:line="420" w:lineRule="atLeast"/>
      <w:jc w:val="left"/>
      <w:textAlignment w:val="baseline"/>
    </w:pPr>
    <w:rPr>
      <w:kern w:val="0"/>
    </w:rPr>
  </w:style>
  <w:style w:type="paragraph" w:customStyle="1" w:styleId="44">
    <w:name w:val="Blockquote"/>
    <w:basedOn w:val="1"/>
    <w:autoRedefine/>
    <w:qFormat/>
    <w:uiPriority w:val="0"/>
    <w:pPr>
      <w:widowControl/>
      <w:spacing w:before="100" w:afterLines="50"/>
      <w:ind w:left="360" w:right="360"/>
      <w:jc w:val="left"/>
    </w:pPr>
    <w:rPr>
      <w:rFonts w:ascii="宋体"/>
      <w:snapToGrid w:val="0"/>
      <w:kern w:val="0"/>
      <w:sz w:val="24"/>
      <w:szCs w:val="20"/>
      <w:lang w:val="en-CA"/>
    </w:rPr>
  </w:style>
  <w:style w:type="character" w:customStyle="1" w:styleId="45">
    <w:name w:val="hover25"/>
    <w:basedOn w:val="26"/>
    <w:qFormat/>
    <w:uiPriority w:val="0"/>
  </w:style>
  <w:style w:type="character" w:customStyle="1" w:styleId="46">
    <w:name w:val="hover26"/>
    <w:basedOn w:val="26"/>
    <w:qFormat/>
    <w:uiPriority w:val="0"/>
    <w:rPr>
      <w:color w:val="315EFB"/>
    </w:rPr>
  </w:style>
  <w:style w:type="character" w:customStyle="1" w:styleId="47">
    <w:name w:val="hover27"/>
    <w:basedOn w:val="26"/>
    <w:qFormat/>
    <w:uiPriority w:val="0"/>
    <w:rPr>
      <w:color w:val="315EFB"/>
    </w:rPr>
  </w:style>
  <w:style w:type="character" w:customStyle="1" w:styleId="48">
    <w:name w:val="c-icon"/>
    <w:basedOn w:val="26"/>
    <w:qFormat/>
    <w:uiPriority w:val="0"/>
  </w:style>
  <w:style w:type="character" w:customStyle="1" w:styleId="49">
    <w:name w:val="content-right_2s-h41"/>
    <w:basedOn w:val="26"/>
    <w:qFormat/>
    <w:uiPriority w:val="0"/>
  </w:style>
  <w:style w:type="table" w:customStyle="1" w:styleId="50">
    <w:name w:val="Table Normal"/>
    <w:semiHidden/>
    <w:unhideWhenUsed/>
    <w:qFormat/>
    <w:uiPriority w:val="0"/>
    <w:tblPr>
      <w:tblCellMar>
        <w:top w:w="0" w:type="dxa"/>
        <w:left w:w="0" w:type="dxa"/>
        <w:bottom w:w="0" w:type="dxa"/>
        <w:right w:w="0" w:type="dxa"/>
      </w:tblCellMar>
    </w:tblPr>
  </w:style>
  <w:style w:type="paragraph" w:customStyle="1" w:styleId="51">
    <w:name w:val="Table Text"/>
    <w:basedOn w:val="1"/>
    <w:semiHidden/>
    <w:qFormat/>
    <w:uiPriority w:val="0"/>
    <w:rPr>
      <w:rFonts w:ascii="楷体" w:hAnsi="楷体" w:eastAsia="楷体" w:cs="楷体"/>
      <w:sz w:val="24"/>
      <w:szCs w:val="24"/>
      <w:lang w:val="en-US" w:eastAsia="en-US" w:bidi="ar-SA"/>
    </w:rPr>
  </w:style>
  <w:style w:type="paragraph" w:customStyle="1" w:styleId="52">
    <w:name w:val="章正文"/>
    <w:basedOn w:val="1"/>
    <w:qFormat/>
    <w:uiPriority w:val="0"/>
    <w:pPr>
      <w:spacing w:before="156" w:beforeLines="50" w:after="120" w:afterLines="0" w:line="300" w:lineRule="auto"/>
      <w:ind w:firstLine="480"/>
    </w:pPr>
    <w:rPr>
      <w:rFonts w:ascii="Helvetica" w:hAnsi="Helvetica"/>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4002</Words>
  <Characters>4548</Characters>
  <Lines>0</Lines>
  <Paragraphs>0</Paragraphs>
  <TotalTime>39</TotalTime>
  <ScaleCrop>false</ScaleCrop>
  <LinksUpToDate>false</LinksUpToDate>
  <CharactersWithSpaces>4764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2023-11-01T02:57:00Z</dcterms:created>
  <dc:creator>Administrator</dc:creator>
  <cp:lastModifiedBy>Administrator</cp:lastModifiedBy>
  <cp:lastPrinted>2024-07-08T01:05:00Z</cp:lastPrinted>
  <dcterms:modified xsi:type="dcterms:W3CDTF">2025-02-19T01:14:47Z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606A546FB1A944D4954EE0B73A3B31CF_13</vt:lpwstr>
  </property>
  <property fmtid="{D5CDD505-2E9C-101B-9397-08002B2CF9AE}" pid="4" name="KSOTemplateDocerSaveRecord">
    <vt:lpwstr>eyJoZGlkIjoiNGYwMzdlMDU1MTc1YzQ3NzExMmIxNTAyNDE2NzA4MjgiLCJ1c2VySWQiOiI1MDAxMDEzNjUifQ==</vt:lpwstr>
  </property>
</Properties>
</file>